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0" w:line="360" w:lineRule="auto"/>
        <w:jc w:val="center"/>
        <w:rPr>
          <w:rFonts w:hint="eastAsia" w:ascii="方正小标宋简体" w:hAnsi="方正小标宋简体" w:eastAsia="方正小标宋简体" w:cs="方正小标宋简体"/>
          <w:b w:val="0"/>
          <w:kern w:val="2"/>
          <w:szCs w:val="44"/>
        </w:rPr>
      </w:pPr>
      <w:r>
        <w:rPr>
          <w:rFonts w:hint="eastAsia" w:ascii="方正小标宋简体" w:hAnsi="方正小标宋简体" w:eastAsia="方正小标宋简体" w:cs="方正小标宋简体"/>
          <w:b w:val="0"/>
          <w:kern w:val="2"/>
          <w:szCs w:val="44"/>
        </w:rPr>
        <w:t>福建省肿瘤医院医学影像</w:t>
      </w:r>
      <w:bookmarkStart w:id="0" w:name="OLE_LINK1"/>
      <w:r>
        <w:rPr>
          <w:rFonts w:hint="eastAsia" w:ascii="方正小标宋简体" w:hAnsi="方正小标宋简体" w:eastAsia="方正小标宋简体" w:cs="方正小标宋简体"/>
          <w:b w:val="0"/>
          <w:kern w:val="2"/>
          <w:szCs w:val="44"/>
        </w:rPr>
        <w:t>专用显示器</w:t>
      </w:r>
      <w:bookmarkEnd w:id="0"/>
    </w:p>
    <w:p>
      <w:pPr>
        <w:pStyle w:val="2"/>
        <w:spacing w:after="0" w:line="360" w:lineRule="auto"/>
        <w:jc w:val="center"/>
        <w:rPr>
          <w:rFonts w:ascii="仿宋_GB2312" w:hAnsi="仿宋_GB2312" w:eastAsia="方正小标宋简体" w:cs="仿宋_GB2312"/>
          <w:b w:val="0"/>
          <w:kern w:val="2"/>
          <w:sz w:val="32"/>
          <w:szCs w:val="32"/>
        </w:rPr>
      </w:pPr>
      <w:r>
        <w:rPr>
          <w:rFonts w:hint="eastAsia" w:ascii="方正小标宋简体" w:hAnsi="方正小标宋简体" w:eastAsia="方正小标宋简体" w:cs="方正小标宋简体"/>
          <w:b w:val="0"/>
          <w:kern w:val="2"/>
          <w:szCs w:val="44"/>
          <w:lang w:val="en-US" w:eastAsia="zh-CN"/>
        </w:rPr>
        <w:t>网超品牌论证</w:t>
      </w:r>
      <w:r>
        <w:rPr>
          <w:rFonts w:hint="eastAsia" w:ascii="方正小标宋简体" w:hAnsi="方正小标宋简体" w:eastAsia="方正小标宋简体" w:cs="方正小标宋简体"/>
          <w:b w:val="0"/>
          <w:kern w:val="2"/>
          <w:szCs w:val="44"/>
        </w:rPr>
        <w:t>公告</w:t>
      </w:r>
    </w:p>
    <w:p>
      <w:pPr>
        <w:widowControl/>
        <w:shd w:val="clear" w:color="auto" w:fill="FFFFFF"/>
        <w:adjustRightInd w:val="0"/>
        <w:snapToGrid w:val="0"/>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第一部分 须知前附表</w:t>
      </w:r>
    </w:p>
    <w:tbl>
      <w:tblPr>
        <w:tblStyle w:val="9"/>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8"/>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主　　　要　　　 内　　　 容</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项目名称：</w:t>
            </w:r>
            <w:r>
              <w:rPr>
                <w:rFonts w:hint="eastAsia" w:ascii="仿宋_GB2312" w:hAnsi="仿宋_GB2312" w:eastAsia="仿宋_GB2312" w:cs="仿宋_GB2312"/>
                <w:color w:val="000000"/>
                <w:kern w:val="0"/>
                <w:sz w:val="32"/>
                <w:szCs w:val="32"/>
                <w:lang w:val="en-US" w:eastAsia="zh-CN"/>
              </w:rPr>
              <w:t>医学影像专用显示器</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after="0" w:line="360" w:lineRule="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调研报名时间： 2025 年</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11</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 xml:space="preserve">月 </w:t>
            </w:r>
            <w:r>
              <w:rPr>
                <w:rFonts w:hint="eastAsia" w:ascii="仿宋_GB2312" w:hAnsi="仿宋_GB2312" w:eastAsia="仿宋_GB2312" w:cs="仿宋_GB2312"/>
                <w:color w:val="000000"/>
                <w:kern w:val="0"/>
                <w:sz w:val="32"/>
                <w:szCs w:val="32"/>
                <w:u w:val="single"/>
                <w:lang w:val="en-US" w:eastAsia="zh-CN"/>
              </w:rPr>
              <w:t>20</w:t>
            </w:r>
            <w:r>
              <w:rPr>
                <w:rFonts w:hint="eastAsia" w:ascii="仿宋_GB2312" w:hAnsi="仿宋_GB2312" w:eastAsia="仿宋_GB2312" w:cs="仿宋_GB2312"/>
                <w:color w:val="000000"/>
                <w:kern w:val="0"/>
                <w:sz w:val="32"/>
                <w:szCs w:val="32"/>
              </w:rPr>
              <w:t xml:space="preserve">日至 </w:t>
            </w:r>
            <w:r>
              <w:rPr>
                <w:rFonts w:hint="eastAsia" w:ascii="仿宋_GB2312" w:hAnsi="仿宋_GB2312" w:eastAsia="仿宋_GB2312" w:cs="仿宋_GB2312"/>
                <w:color w:val="000000"/>
                <w:kern w:val="0"/>
                <w:sz w:val="32"/>
                <w:szCs w:val="32"/>
                <w:u w:val="single"/>
                <w:lang w:val="en-US" w:eastAsia="zh-CN"/>
              </w:rPr>
              <w:t>11</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26</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 xml:space="preserve">日 </w:t>
            </w:r>
            <w:r>
              <w:rPr>
                <w:rFonts w:hint="eastAsia" w:ascii="仿宋_GB2312" w:hAnsi="仿宋_GB2312" w:eastAsia="仿宋_GB2312" w:cs="仿宋_GB2312"/>
                <w:color w:val="000000"/>
                <w:spacing w:val="-8"/>
                <w:kern w:val="0"/>
                <w:sz w:val="32"/>
                <w:szCs w:val="32"/>
                <w:shd w:val="clear" w:color="auto" w:fill="FFFFFF"/>
              </w:rPr>
              <w:t>(节假日除外)8：00-12：00或14：00-17：00(北京时间）</w:t>
            </w:r>
          </w:p>
          <w:p>
            <w:pPr>
              <w:widowControl/>
              <w:spacing w:after="0" w:line="360" w:lineRule="auto"/>
              <w:rPr>
                <w:rFonts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kern w:val="0"/>
                <w:sz w:val="32"/>
                <w:szCs w:val="32"/>
              </w:rPr>
              <w:t>调研会时间： 2025 年</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11</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28</w:t>
            </w:r>
            <w:r>
              <w:rPr>
                <w:rFonts w:hint="eastAsia" w:ascii="仿宋_GB2312" w:hAnsi="仿宋_GB2312" w:eastAsia="仿宋_GB2312" w:cs="仿宋_GB2312"/>
                <w:color w:val="000000"/>
                <w:kern w:val="0"/>
                <w:sz w:val="32"/>
                <w:szCs w:val="32"/>
              </w:rPr>
              <w:t xml:space="preserve">日 </w:t>
            </w:r>
            <w:r>
              <w:rPr>
                <w:rFonts w:hint="eastAsia" w:ascii="仿宋_GB2312" w:hAnsi="仿宋_GB2312" w:eastAsia="仿宋_GB2312" w:cs="仿宋_GB2312"/>
                <w:color w:val="000000"/>
                <w:kern w:val="0"/>
                <w:sz w:val="32"/>
                <w:szCs w:val="32"/>
                <w:lang w:val="en-US" w:eastAsia="zh-CN"/>
              </w:rPr>
              <w:t>14</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0</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份胶装并密封加盖投标人公章。文件未胶装将视为无效。</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文件递交处：福建省肿瘤医院网络技术中心</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上述时间、地点如有变动，以单位届时通知为准。</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pacing w:after="0"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widowControl/>
              <w:shd w:val="clear" w:color="auto" w:fill="FFFFFF"/>
              <w:adjustRightInd w:val="0"/>
              <w:snapToGrid w:val="0"/>
              <w:spacing w:after="0" w:line="360" w:lineRule="auto"/>
              <w:rPr>
                <w:rFonts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shd w:val="clear" w:color="auto" w:fill="FFFFFF"/>
              </w:rPr>
              <w:t>采购报名、采购调研等采购过程中有任何异议，可联系我院监督科室。电话：83660063-8407；83660063-8467。</w:t>
            </w:r>
          </w:p>
        </w:tc>
      </w:tr>
    </w:tbl>
    <w:p>
      <w:pPr>
        <w:widowControl/>
        <w:shd w:val="clear" w:color="auto" w:fill="FFFFFF"/>
        <w:spacing w:after="0" w:line="360" w:lineRule="auto"/>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地　址： 福建省福州市福马路420号 </w:t>
      </w:r>
    </w:p>
    <w:p>
      <w:pPr>
        <w:widowControl/>
        <w:shd w:val="clear" w:color="auto" w:fill="FFFFFF"/>
        <w:spacing w:after="0" w:line="360" w:lineRule="auto"/>
        <w:ind w:firstLine="420"/>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福建省肿瘤医院科研楼四楼网络技术中心</w:t>
      </w:r>
    </w:p>
    <w:p>
      <w:pPr>
        <w:widowControl/>
        <w:shd w:val="clear" w:color="auto" w:fill="FFFFFF"/>
        <w:spacing w:after="0" w:line="360"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邮　编： 350014　 </w:t>
      </w:r>
    </w:p>
    <w:p>
      <w:pPr>
        <w:widowControl/>
        <w:shd w:val="clear" w:color="auto" w:fill="FFFFFF"/>
        <w:spacing w:after="0" w:line="360"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报名联系电话： 0591-83660063-8822</w:t>
      </w:r>
    </w:p>
    <w:p>
      <w:pPr>
        <w:widowControl/>
        <w:shd w:val="clear" w:color="auto" w:fill="FFFFFF"/>
        <w:spacing w:after="0" w:line="360" w:lineRule="auto"/>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联系人：</w:t>
      </w:r>
      <w:r>
        <w:rPr>
          <w:rFonts w:hint="eastAsia" w:ascii="仿宋_GB2312" w:hAnsi="仿宋_GB2312" w:eastAsia="仿宋_GB2312" w:cs="仿宋_GB2312"/>
          <w:bCs/>
          <w:color w:val="000000"/>
          <w:kern w:val="0"/>
          <w:sz w:val="32"/>
          <w:szCs w:val="32"/>
          <w:shd w:val="clear" w:color="auto" w:fill="FFFFFF"/>
          <w:lang w:val="en-US" w:eastAsia="zh-CN"/>
        </w:rPr>
        <w:t>陈工、郑工</w:t>
      </w:r>
    </w:p>
    <w:p>
      <w:pPr>
        <w:pStyle w:val="12"/>
        <w:spacing w:after="0" w:line="360" w:lineRule="auto"/>
        <w:rPr>
          <w:rFonts w:ascii="黑体" w:hAnsi="黑体" w:eastAsia="黑体"/>
          <w:bCs/>
          <w:color w:val="000000"/>
          <w:kern w:val="0"/>
          <w:sz w:val="32"/>
          <w:szCs w:val="32"/>
          <w:shd w:val="clear" w:color="auto" w:fill="FFFFFF"/>
        </w:rPr>
      </w:pPr>
      <w:r>
        <w:rPr>
          <w:rFonts w:hint="eastAsia" w:ascii="黑体" w:hAnsi="黑体" w:eastAsia="黑体"/>
          <w:bCs/>
          <w:color w:val="000000"/>
          <w:kern w:val="0"/>
          <w:sz w:val="32"/>
          <w:szCs w:val="32"/>
          <w:shd w:val="clear" w:color="auto" w:fill="FFFFFF"/>
        </w:rPr>
        <w:t>第二部分 具体要求</w:t>
      </w:r>
    </w:p>
    <w:p>
      <w:pPr>
        <w:widowControl/>
        <w:shd w:val="clear" w:color="auto" w:fill="FFFFFF"/>
        <w:spacing w:after="0" w:line="360" w:lineRule="auto"/>
        <w:rPr>
          <w:rFonts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一、采购内容</w:t>
      </w:r>
    </w:p>
    <w:tbl>
      <w:tblPr>
        <w:tblStyle w:val="9"/>
        <w:tblpPr w:leftFromText="180" w:rightFromText="180" w:vertAnchor="text" w:horzAnchor="page" w:tblpXSpec="center" w:tblpY="283"/>
        <w:tblOverlap w:val="never"/>
        <w:tblW w:w="85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41"/>
        <w:gridCol w:w="3178"/>
        <w:gridCol w:w="1590"/>
        <w:gridCol w:w="17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exact"/>
          <w:jc w:val="center"/>
        </w:trPr>
        <w:tc>
          <w:tcPr>
            <w:tcW w:w="2041" w:type="dxa"/>
            <w:vAlign w:val="top"/>
          </w:tcPr>
          <w:p>
            <w:pPr>
              <w:widowControl/>
              <w:spacing w:after="0" w:line="360" w:lineRule="auto"/>
              <w:jc w:val="center"/>
              <w:rPr>
                <w:rFonts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合同包</w:t>
            </w:r>
          </w:p>
        </w:tc>
        <w:tc>
          <w:tcPr>
            <w:tcW w:w="3178" w:type="dxa"/>
            <w:vAlign w:val="top"/>
          </w:tcPr>
          <w:p>
            <w:pPr>
              <w:widowControl/>
              <w:spacing w:after="0" w:line="360" w:lineRule="auto"/>
              <w:rPr>
                <w:rFonts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名 称</w:t>
            </w:r>
          </w:p>
        </w:tc>
        <w:tc>
          <w:tcPr>
            <w:tcW w:w="1590" w:type="dxa"/>
            <w:vAlign w:val="top"/>
          </w:tcPr>
          <w:p>
            <w:pPr>
              <w:widowControl/>
              <w:spacing w:after="0"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数量</w:t>
            </w:r>
          </w:p>
        </w:tc>
        <w:tc>
          <w:tcPr>
            <w:tcW w:w="1756" w:type="dxa"/>
            <w:vAlign w:val="top"/>
          </w:tcPr>
          <w:p>
            <w:pPr>
              <w:widowControl/>
              <w:spacing w:after="0"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预算（万元）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4" w:hRule="exact"/>
          <w:jc w:val="center"/>
        </w:trPr>
        <w:tc>
          <w:tcPr>
            <w:tcW w:w="2041" w:type="dxa"/>
            <w:vAlign w:val="center"/>
          </w:tcPr>
          <w:p>
            <w:pPr>
              <w:widowControl/>
              <w:spacing w:after="0" w:line="360" w:lineRule="auto"/>
              <w:jc w:val="center"/>
              <w:rPr>
                <w:rFonts w:ascii="仿宋_GB2312" w:hAnsi="仿宋_GB2312" w:eastAsia="仿宋_GB2312" w:cs="仿宋_GB2312"/>
                <w:sz w:val="32"/>
                <w:szCs w:val="32"/>
              </w:rPr>
            </w:pPr>
            <w:r>
              <w:rPr>
                <w:rFonts w:hint="eastAsia" w:ascii="宋体" w:hAnsi="宋体" w:cs="宋体"/>
                <w:b/>
                <w:bCs/>
                <w:color w:val="000000"/>
                <w:kern w:val="0"/>
                <w:sz w:val="24"/>
              </w:rPr>
              <w:t>（一）</w:t>
            </w:r>
          </w:p>
        </w:tc>
        <w:tc>
          <w:tcPr>
            <w:tcW w:w="3178" w:type="dxa"/>
            <w:vAlign w:val="center"/>
          </w:tcPr>
          <w:p>
            <w:pPr>
              <w:spacing w:after="0" w:line="360" w:lineRule="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color w:val="000000"/>
                <w:kern w:val="0"/>
                <w:sz w:val="32"/>
                <w:szCs w:val="32"/>
                <w:lang w:val="en-US" w:eastAsia="zh-CN"/>
              </w:rPr>
              <w:t>医学影像专用显示器</w:t>
            </w:r>
          </w:p>
        </w:tc>
        <w:tc>
          <w:tcPr>
            <w:tcW w:w="1590" w:type="dxa"/>
            <w:vAlign w:val="center"/>
          </w:tcPr>
          <w:p>
            <w:pPr>
              <w:spacing w:after="0" w:line="360" w:lineRule="auto"/>
              <w:jc w:val="center"/>
              <w:rPr>
                <w:rFonts w:hint="default" w:ascii="宋体" w:hAnsi="宋体" w:cs="宋体"/>
                <w:kern w:val="0"/>
                <w:sz w:val="24"/>
                <w:lang w:val="en-US" w:eastAsia="zh-CN"/>
              </w:rPr>
            </w:pPr>
            <w:r>
              <w:rPr>
                <w:rFonts w:hint="eastAsia" w:ascii="宋体" w:hAnsi="宋体" w:cs="宋体"/>
                <w:kern w:val="0"/>
                <w:sz w:val="24"/>
                <w:lang w:val="en-US" w:eastAsia="zh-CN"/>
              </w:rPr>
              <w:t>3台</w:t>
            </w:r>
          </w:p>
        </w:tc>
        <w:tc>
          <w:tcPr>
            <w:tcW w:w="1756" w:type="dxa"/>
            <w:vAlign w:val="center"/>
          </w:tcPr>
          <w:p>
            <w:pPr>
              <w:spacing w:after="0" w:line="360" w:lineRule="auto"/>
              <w:jc w:val="center"/>
              <w:rPr>
                <w:rFonts w:hint="default" w:ascii="宋体" w:hAnsi="宋体" w:cs="宋体"/>
                <w:kern w:val="0"/>
                <w:sz w:val="24"/>
                <w:lang w:val="en-US"/>
              </w:rPr>
            </w:pPr>
            <w:r>
              <w:rPr>
                <w:rFonts w:hint="eastAsia" w:ascii="宋体" w:hAnsi="宋体" w:cs="宋体"/>
                <w:kern w:val="0"/>
                <w:sz w:val="24"/>
                <w:lang w:val="en-US" w:eastAsia="zh-CN"/>
              </w:rPr>
              <w:t>12</w:t>
            </w:r>
          </w:p>
        </w:tc>
      </w:tr>
    </w:tbl>
    <w:p/>
    <w:p>
      <w:pPr>
        <w:keepNext/>
        <w:widowControl/>
        <w:shd w:val="clear" w:color="auto" w:fill="FFFFFF"/>
        <w:autoSpaceDE w:val="0"/>
        <w:spacing w:after="0" w:line="360" w:lineRule="auto"/>
        <w:rPr>
          <w:rFonts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二、技术功能及服务要求（以“★”标示的内容为不允许负偏离的实质性要求）</w:t>
      </w:r>
    </w:p>
    <w:p>
      <w:pPr>
        <w:pStyle w:val="12"/>
        <w:snapToGrid w:val="0"/>
        <w:spacing w:line="360" w:lineRule="auto"/>
        <w:outlineLvl w:val="0"/>
        <w:rPr>
          <w:rFonts w:ascii="宋体" w:hAnsi="宋体" w:eastAsia="宋体" w:cs="宋体"/>
          <w:sz w:val="28"/>
          <w:szCs w:val="28"/>
        </w:rPr>
      </w:pPr>
      <w:r>
        <w:rPr>
          <w:rFonts w:hint="eastAsia" w:ascii="宋体" w:hAnsi="宋体" w:eastAsia="宋体" w:cs="宋体"/>
          <w:sz w:val="28"/>
          <w:szCs w:val="28"/>
        </w:rPr>
        <w:t>（一）合同包（一）</w:t>
      </w:r>
    </w:p>
    <w:tbl>
      <w:tblPr>
        <w:tblStyle w:val="9"/>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850"/>
        <w:gridCol w:w="63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Align w:val="center"/>
          </w:tcPr>
          <w:p>
            <w:pPr>
              <w:snapToGrid w:val="0"/>
              <w:spacing w:after="0" w:line="360" w:lineRule="auto"/>
              <w:jc w:val="center"/>
              <w:rPr>
                <w:rFonts w:ascii="宋体" w:hAnsi="宋体" w:cs="宋体"/>
                <w:b/>
                <w:bCs/>
                <w:kern w:val="0"/>
                <w:sz w:val="24"/>
              </w:rPr>
            </w:pPr>
            <w:r>
              <w:rPr>
                <w:rFonts w:hint="eastAsia" w:ascii="宋体" w:hAnsi="宋体" w:cs="宋体"/>
                <w:b/>
                <w:bCs/>
                <w:kern w:val="0"/>
                <w:sz w:val="24"/>
              </w:rPr>
              <w:t>序号</w:t>
            </w:r>
          </w:p>
        </w:tc>
        <w:tc>
          <w:tcPr>
            <w:tcW w:w="1418" w:type="dxa"/>
            <w:vAlign w:val="center"/>
          </w:tcPr>
          <w:p>
            <w:pPr>
              <w:snapToGrid w:val="0"/>
              <w:spacing w:after="0" w:line="360" w:lineRule="auto"/>
              <w:jc w:val="center"/>
              <w:rPr>
                <w:rFonts w:ascii="宋体" w:hAnsi="宋体" w:cs="宋体"/>
                <w:b/>
                <w:bCs/>
                <w:kern w:val="0"/>
                <w:sz w:val="24"/>
              </w:rPr>
            </w:pPr>
            <w:r>
              <w:rPr>
                <w:rFonts w:hint="eastAsia" w:ascii="宋体" w:hAnsi="宋体" w:cs="宋体"/>
                <w:b/>
                <w:bCs/>
                <w:kern w:val="0"/>
                <w:sz w:val="24"/>
              </w:rPr>
              <w:t>项目</w:t>
            </w:r>
          </w:p>
        </w:tc>
        <w:tc>
          <w:tcPr>
            <w:tcW w:w="850" w:type="dxa"/>
            <w:vAlign w:val="center"/>
          </w:tcPr>
          <w:p>
            <w:pPr>
              <w:snapToGrid w:val="0"/>
              <w:spacing w:after="0" w:line="360" w:lineRule="auto"/>
              <w:jc w:val="center"/>
              <w:rPr>
                <w:rFonts w:ascii="宋体" w:hAnsi="宋体" w:cs="宋体"/>
                <w:b/>
                <w:bCs/>
                <w:kern w:val="0"/>
                <w:sz w:val="24"/>
              </w:rPr>
            </w:pPr>
            <w:r>
              <w:rPr>
                <w:rFonts w:hint="eastAsia" w:ascii="宋体" w:hAnsi="宋体" w:cs="宋体"/>
                <w:b/>
                <w:bCs/>
                <w:kern w:val="0"/>
                <w:sz w:val="24"/>
              </w:rPr>
              <w:t>数量</w:t>
            </w:r>
          </w:p>
        </w:tc>
        <w:tc>
          <w:tcPr>
            <w:tcW w:w="6379" w:type="dxa"/>
            <w:vAlign w:val="center"/>
          </w:tcPr>
          <w:p>
            <w:pPr>
              <w:snapToGrid w:val="0"/>
              <w:spacing w:after="0" w:line="360" w:lineRule="auto"/>
              <w:jc w:val="center"/>
              <w:rPr>
                <w:rFonts w:ascii="宋体" w:hAnsi="宋体" w:cs="宋体"/>
                <w:b/>
                <w:bCs/>
                <w:kern w:val="0"/>
                <w:sz w:val="24"/>
              </w:rPr>
            </w:pPr>
            <w:r>
              <w:rPr>
                <w:rFonts w:hint="eastAsia" w:ascii="宋体" w:hAnsi="宋体" w:cs="宋体"/>
                <w:b/>
                <w:bCs/>
                <w:kern w:val="0"/>
                <w:sz w:val="24"/>
              </w:rPr>
              <w:t>技术参数要求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Align w:val="center"/>
          </w:tcPr>
          <w:p>
            <w:pPr>
              <w:snapToGrid w:val="0"/>
              <w:spacing w:after="0" w:line="360" w:lineRule="auto"/>
              <w:jc w:val="center"/>
              <w:rPr>
                <w:rFonts w:ascii="宋体" w:hAnsi="宋体" w:cs="宋体"/>
                <w:kern w:val="0"/>
                <w:sz w:val="24"/>
              </w:rPr>
            </w:pPr>
            <w:r>
              <w:rPr>
                <w:rFonts w:hint="eastAsia" w:ascii="宋体" w:hAnsi="宋体" w:cs="宋体"/>
                <w:kern w:val="0"/>
                <w:sz w:val="24"/>
              </w:rPr>
              <w:t>1</w:t>
            </w:r>
          </w:p>
        </w:tc>
        <w:tc>
          <w:tcPr>
            <w:tcW w:w="1418" w:type="dxa"/>
            <w:vAlign w:val="center"/>
          </w:tcPr>
          <w:p>
            <w:pPr>
              <w:snapToGrid w:val="0"/>
              <w:spacing w:after="0" w:line="360" w:lineRule="auto"/>
              <w:jc w:val="center"/>
              <w:rPr>
                <w:rFonts w:hint="default" w:ascii="宋体" w:hAnsi="宋体" w:eastAsia="宋体" w:cs="宋体"/>
                <w:kern w:val="0"/>
                <w:sz w:val="24"/>
                <w:lang w:val="en-US" w:eastAsia="zh-CN"/>
              </w:rPr>
            </w:pPr>
            <w:r>
              <w:rPr>
                <w:rFonts w:hint="eastAsia" w:ascii="仿宋_GB2312" w:hAnsi="仿宋_GB2312" w:eastAsia="仿宋_GB2312" w:cs="仿宋_GB2312"/>
                <w:color w:val="000000"/>
                <w:kern w:val="0"/>
                <w:sz w:val="28"/>
                <w:szCs w:val="28"/>
                <w:lang w:val="en-US" w:eastAsia="zh-CN"/>
              </w:rPr>
              <w:t>医学影像专用显示器</w:t>
            </w:r>
          </w:p>
        </w:tc>
        <w:tc>
          <w:tcPr>
            <w:tcW w:w="850" w:type="dxa"/>
            <w:vAlign w:val="center"/>
          </w:tcPr>
          <w:p>
            <w:pPr>
              <w:snapToGrid w:val="0"/>
              <w:spacing w:after="0" w:line="360" w:lineRule="auto"/>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3台</w:t>
            </w:r>
          </w:p>
        </w:tc>
        <w:tc>
          <w:tcPr>
            <w:tcW w:w="6379" w:type="dxa"/>
            <w:vAlign w:val="top"/>
          </w:tcPr>
          <w:p>
            <w:pPr>
              <w:numPr>
                <w:ilvl w:val="0"/>
                <w:numId w:val="0"/>
              </w:numPr>
              <w:spacing w:after="0" w:line="360" w:lineRule="auto"/>
              <w:jc w:val="left"/>
              <w:rPr>
                <w:rFonts w:hint="default"/>
                <w:lang w:val="en-US" w:eastAsia="zh-CN"/>
              </w:rPr>
            </w:pPr>
            <w:r>
              <w:rPr>
                <w:rFonts w:hint="default"/>
                <w:lang w:val="en-US" w:eastAsia="zh-CN"/>
              </w:rPr>
              <w:t>1. 医学影像专用显示器（IPS 材质），内置</w:t>
            </w:r>
            <w:bookmarkStart w:id="1" w:name="_GoBack"/>
            <w:bookmarkEnd w:id="1"/>
            <w:r>
              <w:rPr>
                <w:rFonts w:hint="default"/>
                <w:lang w:val="en-US" w:eastAsia="zh-CN"/>
              </w:rPr>
              <w:t>DICOM曲线</w:t>
            </w:r>
          </w:p>
          <w:p>
            <w:pPr>
              <w:numPr>
                <w:ilvl w:val="0"/>
                <w:numId w:val="0"/>
              </w:numPr>
              <w:spacing w:after="0" w:line="360" w:lineRule="auto"/>
              <w:jc w:val="left"/>
              <w:rPr>
                <w:rFonts w:hint="default"/>
                <w:lang w:val="en-US" w:eastAsia="zh-CN"/>
              </w:rPr>
            </w:pPr>
            <w:r>
              <w:rPr>
                <w:rFonts w:hint="default"/>
                <w:lang w:val="en-US" w:eastAsia="zh-CN"/>
              </w:rPr>
              <w:t>2. 尺寸≥27寸，彩色液晶屏，分辨率≥3280x2048</w:t>
            </w:r>
          </w:p>
          <w:p>
            <w:pPr>
              <w:numPr>
                <w:ilvl w:val="0"/>
                <w:numId w:val="0"/>
              </w:numPr>
              <w:spacing w:after="0" w:line="360" w:lineRule="auto"/>
              <w:jc w:val="left"/>
              <w:rPr>
                <w:rFonts w:hint="default"/>
                <w:lang w:val="en-US" w:eastAsia="zh-CN"/>
              </w:rPr>
            </w:pPr>
            <w:r>
              <w:rPr>
                <w:rFonts w:hint="default"/>
                <w:lang w:val="en-US" w:eastAsia="zh-CN"/>
              </w:rPr>
              <w:t>3. 点距≤0.1997 mm x 0.1997 mm</w:t>
            </w:r>
          </w:p>
          <w:p>
            <w:pPr>
              <w:numPr>
                <w:ilvl w:val="0"/>
                <w:numId w:val="0"/>
              </w:numPr>
              <w:spacing w:after="0" w:line="360" w:lineRule="auto"/>
              <w:jc w:val="left"/>
              <w:rPr>
                <w:rFonts w:hint="default"/>
                <w:lang w:val="en-US" w:eastAsia="zh-CN"/>
              </w:rPr>
            </w:pPr>
            <w:r>
              <w:rPr>
                <w:rFonts w:hint="default"/>
                <w:lang w:val="en-US" w:eastAsia="zh-CN"/>
              </w:rPr>
              <w:t>4. 色深≥8bit</w:t>
            </w:r>
          </w:p>
          <w:p>
            <w:pPr>
              <w:numPr>
                <w:ilvl w:val="0"/>
                <w:numId w:val="0"/>
              </w:numPr>
              <w:spacing w:after="0" w:line="360" w:lineRule="auto"/>
              <w:jc w:val="left"/>
              <w:rPr>
                <w:rFonts w:hint="default"/>
                <w:lang w:val="en-US" w:eastAsia="zh-CN"/>
              </w:rPr>
            </w:pPr>
            <w:r>
              <w:rPr>
                <w:rFonts w:hint="default"/>
                <w:lang w:val="en-US" w:eastAsia="zh-CN"/>
              </w:rPr>
              <w:t>5. 亮度≥300cd/m"</w:t>
            </w:r>
          </w:p>
          <w:p>
            <w:pPr>
              <w:numPr>
                <w:ilvl w:val="0"/>
                <w:numId w:val="0"/>
              </w:numPr>
              <w:spacing w:after="0" w:line="360" w:lineRule="auto"/>
              <w:jc w:val="left"/>
              <w:rPr>
                <w:rFonts w:hint="default"/>
                <w:lang w:val="en-US" w:eastAsia="zh-CN"/>
              </w:rPr>
            </w:pPr>
            <w:r>
              <w:rPr>
                <w:rFonts w:hint="default"/>
                <w:lang w:val="en-US" w:eastAsia="zh-CN"/>
              </w:rPr>
              <w:t>6. 亮度均匀性≥90%</w:t>
            </w:r>
          </w:p>
          <w:p>
            <w:pPr>
              <w:numPr>
                <w:ilvl w:val="0"/>
                <w:numId w:val="0"/>
              </w:numPr>
              <w:spacing w:after="0" w:line="360" w:lineRule="auto"/>
              <w:jc w:val="left"/>
              <w:rPr>
                <w:rFonts w:hint="default"/>
                <w:lang w:val="en-US" w:eastAsia="zh-CN"/>
              </w:rPr>
            </w:pPr>
            <w:r>
              <w:rPr>
                <w:rFonts w:hint="default"/>
                <w:lang w:val="en-US" w:eastAsia="zh-CN"/>
              </w:rPr>
              <w:t>7. 对比度≥900:1</w:t>
            </w:r>
          </w:p>
          <w:p>
            <w:pPr>
              <w:numPr>
                <w:ilvl w:val="0"/>
                <w:numId w:val="0"/>
              </w:numPr>
              <w:spacing w:after="0" w:line="360" w:lineRule="auto"/>
              <w:jc w:val="left"/>
              <w:rPr>
                <w:rFonts w:hint="default"/>
                <w:lang w:val="en-US" w:eastAsia="zh-CN"/>
              </w:rPr>
            </w:pPr>
            <w:r>
              <w:rPr>
                <w:rFonts w:hint="default"/>
                <w:lang w:val="en-US" w:eastAsia="zh-CN"/>
              </w:rPr>
              <w:t>8. 响应时间≤25ms</w:t>
            </w:r>
          </w:p>
          <w:p>
            <w:pPr>
              <w:numPr>
                <w:ilvl w:val="0"/>
                <w:numId w:val="0"/>
              </w:numPr>
              <w:spacing w:after="0" w:line="360" w:lineRule="auto"/>
              <w:jc w:val="left"/>
              <w:rPr>
                <w:rFonts w:hint="default"/>
                <w:lang w:val="en-US" w:eastAsia="zh-CN"/>
              </w:rPr>
            </w:pPr>
            <w:r>
              <w:rPr>
                <w:rFonts w:hint="default"/>
                <w:lang w:val="en-US" w:eastAsia="zh-CN"/>
              </w:rPr>
              <w:t>9. 可视角度≥150°（上下）/170°（左右）</w:t>
            </w:r>
          </w:p>
          <w:p>
            <w:pPr>
              <w:numPr>
                <w:ilvl w:val="0"/>
                <w:numId w:val="0"/>
              </w:numPr>
              <w:spacing w:after="0" w:line="360" w:lineRule="auto"/>
              <w:jc w:val="left"/>
              <w:rPr>
                <w:rFonts w:hint="default"/>
                <w:lang w:val="en-US" w:eastAsia="zh-CN"/>
              </w:rPr>
            </w:pPr>
            <w:r>
              <w:rPr>
                <w:rFonts w:hint="default"/>
                <w:lang w:val="en-US" w:eastAsia="zh-CN"/>
              </w:rPr>
              <w:t>10. 表面处理：防眩光</w:t>
            </w:r>
          </w:p>
          <w:p>
            <w:pPr>
              <w:numPr>
                <w:ilvl w:val="0"/>
                <w:numId w:val="0"/>
              </w:numPr>
              <w:spacing w:after="0" w:line="360" w:lineRule="auto"/>
              <w:jc w:val="left"/>
              <w:rPr>
                <w:rFonts w:hint="default"/>
                <w:lang w:val="en-US" w:eastAsia="zh-CN"/>
              </w:rPr>
            </w:pPr>
            <w:r>
              <w:rPr>
                <w:rFonts w:hint="default"/>
                <w:lang w:val="en-US" w:eastAsia="zh-CN"/>
              </w:rPr>
              <w:t>11. 信号输入：HDMI ≥1个，DP≥1个</w:t>
            </w:r>
          </w:p>
          <w:p>
            <w:pPr>
              <w:numPr>
                <w:ilvl w:val="0"/>
                <w:numId w:val="0"/>
              </w:numPr>
              <w:spacing w:after="0" w:line="360" w:lineRule="auto"/>
              <w:jc w:val="left"/>
              <w:rPr>
                <w:rFonts w:hint="default"/>
                <w:lang w:val="en-US" w:eastAsia="zh-CN"/>
              </w:rPr>
            </w:pPr>
            <w:r>
              <w:rPr>
                <w:rFonts w:hint="default"/>
                <w:lang w:val="en-US" w:eastAsia="zh-CN"/>
              </w:rPr>
              <w:t>12. 分屏显示：支持屏幕内的分屏显示（≥2）</w:t>
            </w:r>
          </w:p>
          <w:p>
            <w:pPr>
              <w:numPr>
                <w:ilvl w:val="0"/>
                <w:numId w:val="0"/>
              </w:numPr>
              <w:spacing w:after="0" w:line="360" w:lineRule="auto"/>
              <w:jc w:val="left"/>
              <w:rPr>
                <w:rFonts w:hint="default"/>
                <w:lang w:val="en-US" w:eastAsia="zh-CN"/>
              </w:rPr>
            </w:pPr>
            <w:r>
              <w:rPr>
                <w:rFonts w:hint="default"/>
                <w:lang w:val="en-US" w:eastAsia="zh-CN"/>
              </w:rPr>
              <w:t>13. 双向旋转底座：支持显示器双向90°旋转</w:t>
            </w:r>
          </w:p>
          <w:p>
            <w:pPr>
              <w:numPr>
                <w:ilvl w:val="0"/>
                <w:numId w:val="0"/>
              </w:numPr>
              <w:spacing w:after="0" w:line="360" w:lineRule="auto"/>
              <w:jc w:val="left"/>
              <w:rPr>
                <w:rFonts w:hint="default"/>
                <w:lang w:val="en-US" w:eastAsia="zh-CN"/>
              </w:rPr>
            </w:pPr>
            <w:r>
              <w:rPr>
                <w:rFonts w:hint="default"/>
                <w:lang w:val="en-US" w:eastAsia="zh-CN"/>
              </w:rPr>
              <w:t>14. 电源要求：100-240V,50-60Hz</w:t>
            </w:r>
          </w:p>
          <w:p>
            <w:pPr>
              <w:numPr>
                <w:ilvl w:val="0"/>
                <w:numId w:val="0"/>
              </w:numPr>
              <w:spacing w:after="0" w:line="360" w:lineRule="auto"/>
              <w:jc w:val="left"/>
              <w:rPr>
                <w:rFonts w:hint="default"/>
                <w:lang w:val="en-US" w:eastAsia="zh-CN"/>
              </w:rPr>
            </w:pPr>
            <w:r>
              <w:rPr>
                <w:rFonts w:hint="default"/>
                <w:lang w:val="en-US" w:eastAsia="zh-CN"/>
              </w:rPr>
              <w:t>15. 最大消耗功率≤</w:t>
            </w:r>
            <w:r>
              <w:rPr>
                <w:rFonts w:hint="eastAsia"/>
                <w:lang w:val="en-US" w:eastAsia="zh-CN"/>
              </w:rPr>
              <w:t>80W</w:t>
            </w:r>
          </w:p>
          <w:p>
            <w:pPr>
              <w:numPr>
                <w:ilvl w:val="0"/>
                <w:numId w:val="0"/>
              </w:numPr>
              <w:spacing w:after="0" w:line="360" w:lineRule="auto"/>
              <w:jc w:val="left"/>
              <w:rPr>
                <w:rFonts w:hint="default"/>
                <w:lang w:val="en-US" w:eastAsia="zh-CN"/>
              </w:rPr>
            </w:pPr>
            <w:r>
              <w:rPr>
                <w:rFonts w:hint="default"/>
                <w:lang w:val="en-US" w:eastAsia="zh-CN"/>
              </w:rPr>
              <w:t xml:space="preserve">16. </w:t>
            </w:r>
            <w:r>
              <w:rPr>
                <w:rFonts w:hint="eastAsia"/>
                <w:lang w:val="en-US" w:eastAsia="zh-CN"/>
              </w:rPr>
              <w:t>五年</w:t>
            </w:r>
            <w:r>
              <w:rPr>
                <w:rFonts w:hint="default"/>
                <w:lang w:val="en-US" w:eastAsia="zh-CN"/>
              </w:rPr>
              <w:t>质保</w:t>
            </w:r>
          </w:p>
        </w:tc>
      </w:tr>
    </w:tbl>
    <w:p>
      <w:pPr>
        <w:numPr>
          <w:ilvl w:val="0"/>
          <w:numId w:val="1"/>
        </w:numPr>
        <w:spacing w:after="0" w:line="360" w:lineRule="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其他要求</w:t>
      </w:r>
    </w:p>
    <w:p>
      <w:pPr>
        <w:pStyle w:val="16"/>
        <w:spacing w:before="0" w:beforeAutospacing="0" w:after="0" w:afterAutospacing="0" w:line="480" w:lineRule="atLeast"/>
        <w:ind w:firstLine="640"/>
        <w:jc w:val="both"/>
      </w:pPr>
      <w:r>
        <w:rPr>
          <w:rStyle w:val="18"/>
          <w:rFonts w:hint="eastAsia" w:ascii="仿宋_GB2312" w:eastAsia="仿宋_GB2312"/>
          <w:sz w:val="32"/>
          <w:szCs w:val="32"/>
        </w:rPr>
        <w:t>1、本项目为</w:t>
      </w:r>
      <w:r>
        <w:rPr>
          <w:rStyle w:val="18"/>
          <w:rFonts w:hint="eastAsia" w:ascii="仿宋_GB2312" w:eastAsia="仿宋_GB2312"/>
          <w:sz w:val="32"/>
          <w:szCs w:val="32"/>
          <w:lang w:val="en-US" w:eastAsia="zh-CN"/>
        </w:rPr>
        <w:t>国产品牌</w:t>
      </w:r>
      <w:r>
        <w:rPr>
          <w:rStyle w:val="18"/>
          <w:rFonts w:hint="eastAsia" w:ascii="仿宋_GB2312" w:eastAsia="仿宋_GB2312"/>
          <w:sz w:val="32"/>
          <w:szCs w:val="32"/>
        </w:rPr>
        <w:t>，设备安装、系统集成、软件客户化均由乙方负责。提供设备</w:t>
      </w:r>
      <w:r>
        <w:rPr>
          <w:rStyle w:val="18"/>
          <w:rFonts w:hint="eastAsia" w:ascii="仿宋_GB2312" w:eastAsia="仿宋_GB2312"/>
          <w:sz w:val="32"/>
          <w:szCs w:val="32"/>
          <w:lang w:val="en-US" w:eastAsia="zh-CN"/>
        </w:rPr>
        <w:t>软硬件安装</w:t>
      </w:r>
      <w:r>
        <w:rPr>
          <w:rStyle w:val="18"/>
          <w:rFonts w:hint="eastAsia" w:ascii="仿宋_GB2312" w:eastAsia="仿宋_GB2312"/>
          <w:sz w:val="32"/>
          <w:szCs w:val="32"/>
        </w:rPr>
        <w:t>工作，同时结合医院现有设备及应用情况，实施现有及本项目规划、等保安全、系统集成、协助完成医院评审工作包括但不限于三级等保评审、电子病历评审、互联互通评审等各项工作。</w:t>
      </w:r>
    </w:p>
    <w:p>
      <w:pPr>
        <w:pStyle w:val="12"/>
        <w:ind w:firstLine="640" w:firstLineChars="200"/>
        <w:rPr>
          <w:rFonts w:ascii="仿宋_GB2312" w:hAnsi="仿宋_GB2312" w:cs="仿宋_GB2312"/>
          <w:b/>
          <w:bCs/>
          <w:sz w:val="32"/>
          <w:szCs w:val="32"/>
        </w:rPr>
      </w:pPr>
      <w:r>
        <w:rPr>
          <w:rFonts w:hint="eastAsia" w:ascii="仿宋_GB2312" w:hAnsi="仿宋_GB2312" w:cs="仿宋_GB2312"/>
          <w:kern w:val="0"/>
          <w:sz w:val="32"/>
          <w:szCs w:val="32"/>
        </w:rPr>
        <w:t>2.本项目涉及的设备安装调试并经验收合格后，应对采购方的相关人员提供关于系统应用时技术和操作方面的培训。相关培训费用应包含在投标总价中。</w:t>
      </w:r>
    </w:p>
    <w:p>
      <w:pPr>
        <w:pStyle w:val="12"/>
        <w:numPr>
          <w:ilvl w:val="0"/>
          <w:numId w:val="1"/>
        </w:numPr>
        <w:spacing w:after="0" w:line="360" w:lineRule="auto"/>
        <w:rPr>
          <w:rFonts w:ascii="仿宋_GB2312" w:hAnsi="仿宋_GB2312" w:cs="仿宋_GB2312"/>
          <w:b/>
          <w:bCs/>
          <w:sz w:val="32"/>
          <w:szCs w:val="32"/>
        </w:rPr>
      </w:pPr>
      <w:r>
        <w:rPr>
          <w:rFonts w:hint="eastAsia" w:ascii="仿宋_GB2312" w:hAnsi="仿宋_GB2312" w:cs="仿宋_GB2312"/>
          <w:b/>
          <w:bCs/>
          <w:sz w:val="32"/>
          <w:szCs w:val="32"/>
        </w:rPr>
        <w:t>调研说明</w:t>
      </w:r>
    </w:p>
    <w:p>
      <w:pPr>
        <w:shd w:val="solid" w:color="FFFFFF" w:fill="auto"/>
        <w:autoSpaceDN w:val="0"/>
        <w:spacing w:after="0" w:line="360" w:lineRule="auto"/>
        <w:ind w:firstLine="640"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报名参加本次调研的供应商、厂家需提供如下相关资料。</w:t>
      </w:r>
    </w:p>
    <w:p>
      <w:pPr>
        <w:widowControl/>
        <w:numPr>
          <w:ilvl w:val="0"/>
          <w:numId w:val="2"/>
        </w:numPr>
        <w:spacing w:after="0" w:line="360" w:lineRule="auto"/>
        <w:ind w:firstLine="720" w:firstLineChars="200"/>
        <w:rPr>
          <w:rFonts w:ascii="仿宋_GB2312" w:hAnsi="仿宋_GB2312" w:eastAsia="仿宋_GB2312" w:cs="仿宋_GB2312"/>
          <w:color w:val="000000"/>
          <w:kern w:val="0"/>
          <w:sz w:val="36"/>
          <w:szCs w:val="36"/>
        </w:rPr>
      </w:pPr>
      <w:r>
        <w:rPr>
          <w:rFonts w:hint="eastAsia" w:ascii="仿宋_GB2312" w:hAnsi="仿宋_GB2312" w:eastAsia="仿宋_GB2312" w:cs="仿宋_GB2312"/>
          <w:color w:val="000000"/>
          <w:kern w:val="0"/>
          <w:sz w:val="36"/>
          <w:szCs w:val="36"/>
        </w:rPr>
        <w:t>报名请携带加盖公章的项目文件回执单、营业执照复印件、公司简介（可含</w:t>
      </w:r>
      <w:r>
        <w:rPr>
          <w:rFonts w:hint="eastAsia" w:ascii="仿宋_GB2312" w:hAnsi="仿宋_GB2312" w:eastAsia="仿宋_GB2312" w:cs="仿宋_GB2312"/>
          <w:bCs/>
          <w:sz w:val="36"/>
          <w:szCs w:val="36"/>
          <w:shd w:val="clear" w:color="auto" w:fill="FFFFFF"/>
        </w:rPr>
        <w:t>提供设备彩页等）</w:t>
      </w:r>
      <w:r>
        <w:rPr>
          <w:rFonts w:hint="eastAsia" w:ascii="仿宋_GB2312" w:hAnsi="仿宋_GB2312" w:eastAsia="仿宋_GB2312" w:cs="仿宋_GB2312"/>
          <w:color w:val="000000"/>
          <w:kern w:val="0"/>
          <w:sz w:val="36"/>
          <w:szCs w:val="36"/>
        </w:rPr>
        <w:t>。</w:t>
      </w:r>
    </w:p>
    <w:p>
      <w:pPr>
        <w:pStyle w:val="12"/>
        <w:spacing w:after="0" w:line="360" w:lineRule="auto"/>
      </w:pPr>
    </w:p>
    <w:p>
      <w:pPr>
        <w:widowControl/>
        <w:shd w:val="clear" w:color="auto" w:fill="FFFFFF"/>
        <w:spacing w:after="0" w:line="360" w:lineRule="auto"/>
        <w:ind w:firstLine="608" w:firstLineChars="200"/>
        <w:rPr>
          <w:rFonts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2、参与项目调研供应商代表的个人授权函（需加盖供应商公章）和身份证复印件。</w:t>
      </w:r>
    </w:p>
    <w:p>
      <w:pPr>
        <w:widowControl/>
        <w:shd w:val="clear" w:color="auto" w:fill="FFFFFF"/>
        <w:spacing w:after="0" w:line="360" w:lineRule="auto"/>
        <w:ind w:firstLine="608" w:firstLineChars="200"/>
        <w:rPr>
          <w:rFonts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3、分别提供“信用中国”网站（www.creditchina.gov.cn）、“中国政府采购网”网站（http://www.ccgp.gov.cn/search/cr/）信用记录查询截图，无不良记录并加盖公章（截图查询日期必须在该公告日期内）。</w:t>
      </w:r>
    </w:p>
    <w:p>
      <w:pPr>
        <w:pStyle w:val="12"/>
        <w:spacing w:after="0" w:line="360" w:lineRule="auto"/>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4、提供业绩清单及近3年省内同类项目中标书</w:t>
      </w:r>
    </w:p>
    <w:p>
      <w:pPr>
        <w:pStyle w:val="12"/>
        <w:spacing w:after="0" w:line="360" w:lineRule="auto"/>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5、本调研会的报价仅做为本项目公开招标的预算限价；不做参与投标的限制条件；</w:t>
      </w:r>
    </w:p>
    <w:p>
      <w:pPr>
        <w:pStyle w:val="12"/>
        <w:spacing w:after="0" w:line="360" w:lineRule="auto"/>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6、上述各参数将做为本项目招标的主要参数，不代表本项目公开招标的最终参数；</w:t>
      </w:r>
    </w:p>
    <w:p>
      <w:pPr>
        <w:pStyle w:val="12"/>
        <w:spacing w:after="0" w:line="360" w:lineRule="auto"/>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7、参加调研会的公司应准备PPT材料（含方案介绍、服务及集成能力、应用案例、报价等）、技术参数等材料，每公司讲解时间30分钟（含答疑10分钟）；同时上述材料须交予院方留档（发送邮件到wlb@fjzlhospital.com，并提供U盘留档）。</w:t>
      </w:r>
    </w:p>
    <w:p>
      <w:pPr>
        <w:pStyle w:val="12"/>
        <w:spacing w:after="0" w:line="360" w:lineRule="auto"/>
        <w:rPr>
          <w:rFonts w:ascii="仿宋_GB2312" w:hAnsi="仿宋_GB2312" w:cs="仿宋_GB2312"/>
          <w:sz w:val="32"/>
          <w:szCs w:val="32"/>
        </w:rPr>
      </w:pPr>
      <w:r>
        <w:rPr>
          <w:rFonts w:hint="eastAsia" w:ascii="仿宋_GB2312" w:hAnsi="仿宋_GB2312" w:cs="仿宋_GB2312"/>
          <w:sz w:val="32"/>
          <w:szCs w:val="32"/>
        </w:rPr>
        <w:br w:type="page"/>
      </w:r>
    </w:p>
    <w:p>
      <w:pPr>
        <w:shd w:val="solid" w:color="FFFFFF" w:fill="auto"/>
        <w:autoSpaceDN w:val="0"/>
        <w:spacing w:after="0" w:line="360" w:lineRule="auto"/>
        <w:jc w:val="center"/>
        <w:rPr>
          <w:rFonts w:ascii="仿宋_GB2312" w:hAnsi="仿宋_GB2312" w:eastAsia="仿宋_GB2312" w:cs="仿宋_GB2312"/>
          <w:b/>
          <w:color w:val="000000"/>
          <w:sz w:val="32"/>
          <w:szCs w:val="32"/>
          <w:shd w:val="clear" w:color="auto" w:fill="FFFFFF"/>
        </w:rPr>
      </w:pPr>
    </w:p>
    <w:p>
      <w:pPr>
        <w:shd w:val="solid" w:color="FFFFFF" w:fill="auto"/>
        <w:autoSpaceDN w:val="0"/>
        <w:spacing w:after="0" w:line="360" w:lineRule="auto"/>
        <w:jc w:val="center"/>
        <w:rPr>
          <w:rFonts w:ascii="仿宋_GB2312" w:hAnsi="仿宋_GB2312" w:eastAsia="仿宋_GB2312" w:cs="仿宋_GB2312"/>
          <w:b/>
          <w:sz w:val="32"/>
          <w:szCs w:val="32"/>
          <w:shd w:val="clear" w:color="auto" w:fill="FFFFFF"/>
        </w:rPr>
      </w:pPr>
      <w:r>
        <w:rPr>
          <w:rFonts w:hint="eastAsia" w:ascii="仿宋_GB2312" w:hAnsi="仿宋_GB2312" w:eastAsia="仿宋_GB2312" w:cs="仿宋_GB2312"/>
          <w:b/>
          <w:color w:val="000000"/>
          <w:sz w:val="32"/>
          <w:szCs w:val="32"/>
          <w:shd w:val="clear" w:color="auto" w:fill="FFFFFF"/>
        </w:rPr>
        <w:t>项目文件回执单</w:t>
      </w:r>
    </w:p>
    <w:p>
      <w:pPr>
        <w:shd w:val="solid" w:color="FFFFFF" w:fill="auto"/>
        <w:autoSpaceDN w:val="0"/>
        <w:spacing w:after="0" w:line="360" w:lineRule="auto"/>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shd w:val="clear" w:color="auto" w:fill="FFFFFF"/>
        </w:rPr>
        <w:t>请有意向参与的公司在项目公示期内携带回执单至福建省肿瘤医院网络技术中心报名。</w:t>
      </w:r>
    </w:p>
    <w:tbl>
      <w:tblPr>
        <w:tblStyle w:val="9"/>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品牌及型号</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rPr>
                <w:rFonts w:ascii="仿宋_GB2312" w:hAnsi="仿宋_GB2312" w:eastAsia="仿宋_GB2312" w:cs="仿宋_GB2312"/>
                <w:bCs/>
                <w:sz w:val="28"/>
                <w:szCs w:val="28"/>
                <w:shd w:val="clear" w:color="auto" w:fill="FFFFFF"/>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after="0" w:line="360" w:lineRule="auto"/>
              <w:rPr>
                <w:rFonts w:ascii="仿宋_GB2312" w:hAnsi="仿宋_GB2312" w:eastAsia="仿宋_GB2312" w:cs="仿宋_GB2312"/>
                <w:bCs/>
                <w:sz w:val="28"/>
                <w:szCs w:val="28"/>
                <w:shd w:val="clear" w:color="auto" w:fill="FFFFFF"/>
              </w:rPr>
            </w:pPr>
          </w:p>
        </w:tc>
      </w:tr>
    </w:tbl>
    <w:p>
      <w:pPr>
        <w:shd w:val="solid" w:color="FFFFFF" w:fill="auto"/>
        <w:autoSpaceDN w:val="0"/>
        <w:spacing w:after="0" w:line="360" w:lineRule="auto"/>
        <w:rPr>
          <w:rFonts w:ascii="仿宋_GB2312" w:hAnsi="仿宋_GB2312" w:eastAsia="仿宋_GB2312" w:cs="仿宋_GB2312"/>
          <w:bCs/>
          <w:sz w:val="32"/>
          <w:szCs w:val="32"/>
          <w:shd w:val="clear" w:color="auto" w:fill="FFFFFF"/>
        </w:rPr>
      </w:pPr>
    </w:p>
    <w:p>
      <w:pPr>
        <w:shd w:val="solid" w:color="FFFFFF" w:fill="auto"/>
        <w:autoSpaceDN w:val="0"/>
        <w:spacing w:after="0" w:line="360" w:lineRule="auto"/>
        <w:rPr>
          <w:rFonts w:ascii="仿宋_GB2312" w:hAnsi="仿宋_GB2312" w:eastAsia="仿宋_GB2312" w:cs="仿宋_GB2312"/>
          <w:bCs/>
          <w:sz w:val="32"/>
          <w:szCs w:val="32"/>
          <w:shd w:val="clear" w:color="auto" w:fill="FFFFFF"/>
        </w:rPr>
      </w:pPr>
    </w:p>
    <w:p>
      <w:pPr>
        <w:shd w:val="solid" w:color="FFFFFF" w:fill="auto"/>
        <w:autoSpaceDN w:val="0"/>
        <w:spacing w:after="0" w:line="360" w:lineRule="auto"/>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公司名称：</w:t>
      </w:r>
    </w:p>
    <w:p>
      <w:pPr>
        <w:shd w:val="solid" w:color="FFFFFF" w:fill="auto"/>
        <w:autoSpaceDN w:val="0"/>
        <w:spacing w:after="0" w:line="360" w:lineRule="auto"/>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联系人：　 </w:t>
      </w:r>
    </w:p>
    <w:p>
      <w:pPr>
        <w:shd w:val="solid" w:color="FFFFFF" w:fill="auto"/>
        <w:autoSpaceDN w:val="0"/>
        <w:spacing w:after="0" w:line="360" w:lineRule="auto"/>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联系电话：</w:t>
      </w:r>
    </w:p>
    <w:p>
      <w:pPr>
        <w:shd w:val="solid" w:color="FFFFFF" w:fill="auto"/>
        <w:autoSpaceDN w:val="0"/>
        <w:spacing w:after="0" w:line="360" w:lineRule="auto"/>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公司盖章：</w:t>
      </w:r>
    </w:p>
    <w:p>
      <w:pPr>
        <w:shd w:val="solid" w:color="FFFFFF" w:fill="auto"/>
        <w:autoSpaceDN w:val="0"/>
        <w:spacing w:after="0" w:line="360" w:lineRule="auto"/>
        <w:rPr>
          <w:rFonts w:ascii="仿宋_GB2312" w:hAnsi="仿宋_GB2312" w:eastAsia="仿宋_GB2312" w:cs="仿宋_GB2312"/>
          <w:bCs/>
          <w:sz w:val="32"/>
          <w:szCs w:val="32"/>
          <w:shd w:val="clear" w:color="auto" w:fill="FFFFFF"/>
        </w:rPr>
      </w:pPr>
    </w:p>
    <w:p>
      <w:pPr>
        <w:pStyle w:val="12"/>
        <w:spacing w:after="0" w:line="360" w:lineRule="auto"/>
        <w:rPr>
          <w:rFonts w:ascii="仿宋_GB2312" w:hAnsi="仿宋_GB2312" w:cs="仿宋_GB2312"/>
          <w:bCs/>
          <w:sz w:val="32"/>
          <w:szCs w:val="32"/>
          <w:shd w:val="clear" w:color="auto" w:fill="FFFFFF"/>
        </w:rPr>
      </w:pPr>
    </w:p>
    <w:p>
      <w:pPr>
        <w:pStyle w:val="12"/>
        <w:spacing w:after="0" w:line="360" w:lineRule="auto"/>
        <w:rPr>
          <w:rFonts w:ascii="仿宋_GB2312" w:hAnsi="仿宋_GB2312" w:cs="仿宋_GB2312"/>
          <w:sz w:val="32"/>
          <w:szCs w:val="32"/>
        </w:rPr>
      </w:pPr>
      <w:r>
        <w:rPr>
          <w:rFonts w:hint="eastAsia" w:ascii="仿宋_GB2312" w:hAnsi="仿宋_GB2312" w:cs="仿宋_GB2312"/>
          <w:sz w:val="32"/>
          <w:szCs w:val="32"/>
        </w:rPr>
        <w:t xml:space="preserve">                                        福建省肿瘤医院</w:t>
      </w:r>
    </w:p>
    <w:p>
      <w:pPr>
        <w:pStyle w:val="12"/>
        <w:spacing w:after="0" w:line="360" w:lineRule="auto"/>
        <w:rPr>
          <w:rFonts w:ascii="仿宋_GB2312" w:hAnsi="仿宋_GB2312" w:cs="仿宋_GB2312"/>
          <w:sz w:val="32"/>
          <w:szCs w:val="32"/>
        </w:rPr>
      </w:pPr>
      <w:r>
        <w:rPr>
          <w:rFonts w:hint="eastAsia" w:ascii="仿宋_GB2312" w:hAnsi="仿宋_GB2312" w:cs="仿宋_GB2312"/>
          <w:sz w:val="32"/>
          <w:szCs w:val="32"/>
        </w:rPr>
        <w:t xml:space="preserve">                                           年  月  日</w:t>
      </w:r>
    </w:p>
    <w:sectPr>
      <w:footerReference r:id="rId5" w:type="default"/>
      <w:pgSz w:w="12240" w:h="15840"/>
      <w:pgMar w:top="1417" w:right="1587" w:bottom="1417" w:left="1587" w:header="720" w:footer="720" w:gutter="0"/>
      <w:cols w:space="720" w:num="1"/>
      <w:docGrid w:type="lines" w:linePitch="31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162560"/>
              <wp:effectExtent l="0" t="0" r="0" b="0"/>
              <wp:wrapNone/>
              <wp:docPr id="1" name="Quad Arrow 1025"/>
              <wp:cNvGraphicFramePr/>
              <a:graphic xmlns:a="http://schemas.openxmlformats.org/drawingml/2006/main">
                <a:graphicData uri="http://schemas.microsoft.com/office/word/2010/wordprocessingShape">
                  <wps:wsp>
                    <wps:cNvSpPr/>
                    <wps:spPr>
                      <a:xfrm>
                        <a:off x="0" y="0"/>
                        <a:ext cx="67945" cy="16256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upright="1">
                      <a:spAutoFit/>
                    </wps:bodyPr>
                  </wps:wsp>
                </a:graphicData>
              </a:graphic>
            </wp:anchor>
          </w:drawing>
        </mc:Choice>
        <mc:Fallback>
          <w:pict>
            <v:rect id="Quad Arrow 1025" o:spid="_x0000_s1026" o:spt="1" style="position:absolute;left:0pt;margin-top:0pt;height:12.8pt;width:5.35pt;mso-position-horizontal:center;mso-position-horizontal-relative:margin;mso-wrap-style:none;z-index:251659264;mso-width-relative:page;mso-height-relative:page;" filled="f" stroked="f" coordsize="21600,21600" o:gfxdata="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XFpMj9EAAAADAQAADwAAAAAAAAABACAAAAAiAAAAZHJzL2Rvd25yZXYueG1sUEsBAhQAFAAA&#10;AAgAh07iQDzBcNu9AQAAkAMAAA4AAAAAAAAAAQAgAAAAIAEAAGRycy9lMm9Eb2MueG1sUEsFBgAA&#10;AAAGAAYAWQEAAE8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551602"/>
    <w:multiLevelType w:val="singleLevel"/>
    <w:tmpl w:val="53551602"/>
    <w:lvl w:ilvl="0" w:tentative="0">
      <w:start w:val="3"/>
      <w:numFmt w:val="chineseCounting"/>
      <w:suff w:val="nothing"/>
      <w:lvlText w:val="%1、"/>
      <w:lvlJc w:val="left"/>
      <w:rPr>
        <w:rFonts w:hint="eastAsia"/>
      </w:rPr>
    </w:lvl>
  </w:abstractNum>
  <w:abstractNum w:abstractNumId="1">
    <w:nsid w:val="67B4397F"/>
    <w:multiLevelType w:val="singleLevel"/>
    <w:tmpl w:val="67B4397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lNzZiNjE1N2NiNDY1MjdjNTllOWUxMWU4Y2ZiZGQifQ=="/>
  </w:docVars>
  <w:rsids>
    <w:rsidRoot w:val="00000000"/>
    <w:rsid w:val="038A3960"/>
    <w:rsid w:val="03D45D33"/>
    <w:rsid w:val="06AB3EF9"/>
    <w:rsid w:val="073366F3"/>
    <w:rsid w:val="1C4E7E93"/>
    <w:rsid w:val="3BC417E3"/>
    <w:rsid w:val="447D605D"/>
    <w:rsid w:val="48167DDB"/>
    <w:rsid w:val="4CE93B72"/>
    <w:rsid w:val="595C281E"/>
    <w:rsid w:val="59B241EC"/>
    <w:rsid w:val="5D0921C1"/>
    <w:rsid w:val="6AB371B1"/>
    <w:rsid w:val="7478419B"/>
    <w:rsid w:val="76953B71"/>
    <w:rsid w:val="7C263D3B"/>
    <w:rsid w:val="7F63769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unhideWhenUsed/>
    <w:qFormat/>
    <w:uiPriority w:val="9"/>
    <w:pPr>
      <w:keepNext/>
      <w:keepLines/>
      <w:snapToGrid w:val="0"/>
      <w:spacing w:line="300" w:lineRule="auto"/>
      <w:ind w:firstLine="200" w:firstLineChars="200"/>
      <w:outlineLvl w:val="1"/>
    </w:pPr>
    <w:rPr>
      <w:rFonts w:ascii="Arial" w:hAnsi="Arial"/>
      <w:b/>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5"/>
    <w:unhideWhenUsed/>
    <w:qFormat/>
    <w:uiPriority w:val="99"/>
    <w:rPr>
      <w:rFonts w:ascii="仿宋_GB2312" w:eastAsia="仿宋_GB2312"/>
      <w:sz w:val="32"/>
    </w:rPr>
  </w:style>
  <w:style w:type="paragraph" w:customStyle="1" w:styleId="5">
    <w:name w:val="引用1"/>
    <w:basedOn w:val="1"/>
    <w:next w:val="1"/>
    <w:qFormat/>
    <w:uiPriority w:val="29"/>
    <w:pPr>
      <w:spacing w:beforeLines="50" w:afterLines="50" w:line="360" w:lineRule="auto"/>
    </w:pPr>
    <w:rPr>
      <w:i/>
      <w:iCs/>
      <w:color w:val="000000"/>
      <w:lang w:val="zh-CN"/>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link w:val="17"/>
    <w:qFormat/>
    <w:uiPriority w:val="0"/>
    <w:pPr>
      <w:tabs>
        <w:tab w:val="center" w:pos="4153"/>
        <w:tab w:val="right" w:pos="8306"/>
      </w:tabs>
      <w:snapToGrid w:val="0"/>
      <w:spacing w:line="240" w:lineRule="auto"/>
      <w:jc w:val="center"/>
    </w:pPr>
    <w:rPr>
      <w:sz w:val="18"/>
      <w:szCs w:val="18"/>
    </w:rPr>
  </w:style>
  <w:style w:type="paragraph" w:styleId="8">
    <w:name w:val="Normal (Web)"/>
    <w:basedOn w:val="1"/>
    <w:qFormat/>
    <w:uiPriority w:val="0"/>
    <w:pPr>
      <w:spacing w:line="336" w:lineRule="auto"/>
      <w:jc w:val="left"/>
    </w:pPr>
    <w:rPr>
      <w:rFonts w:ascii="宋体" w:hAnsi="宋体"/>
      <w:kern w:val="0"/>
      <w:sz w:val="24"/>
    </w:rPr>
  </w:style>
  <w:style w:type="character" w:styleId="11">
    <w:name w:val="Strong"/>
    <w:qFormat/>
    <w:uiPriority w:val="0"/>
    <w:rPr>
      <w:b/>
    </w:rPr>
  </w:style>
  <w:style w:type="paragraph" w:customStyle="1" w:styleId="12">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customStyle="1" w:styleId="13">
    <w:name w:val="xl3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sz w:val="24"/>
    </w:rPr>
  </w:style>
  <w:style w:type="paragraph" w:customStyle="1" w:styleId="14">
    <w:name w:val="列表段落1"/>
    <w:basedOn w:val="1"/>
    <w:qFormat/>
    <w:uiPriority w:val="34"/>
    <w:pPr>
      <w:ind w:firstLine="420" w:firstLineChars="200"/>
    </w:pPr>
  </w:style>
  <w:style w:type="paragraph" w:customStyle="1" w:styleId="15">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p16"/>
    <w:basedOn w:val="1"/>
    <w:qFormat/>
    <w:uiPriority w:val="0"/>
    <w:pPr>
      <w:widowControl/>
      <w:spacing w:before="100" w:beforeAutospacing="1" w:after="100" w:afterAutospacing="1"/>
      <w:jc w:val="left"/>
    </w:pPr>
    <w:rPr>
      <w:rFonts w:ascii="宋体" w:hAnsi="宋体" w:cs="宋体"/>
      <w:kern w:val="0"/>
      <w:sz w:val="24"/>
    </w:rPr>
  </w:style>
  <w:style w:type="character" w:customStyle="1" w:styleId="17">
    <w:name w:val="页眉 字符"/>
    <w:link w:val="7"/>
    <w:qFormat/>
    <w:uiPriority w:val="0"/>
    <w:rPr>
      <w:rFonts w:ascii="Calibri" w:hAnsi="Calibri" w:cs="黑体"/>
      <w:kern w:val="2"/>
      <w:sz w:val="18"/>
      <w:szCs w:val="18"/>
    </w:rPr>
  </w:style>
  <w:style w:type="character" w:customStyle="1" w:styleId="18">
    <w:name w:val="b-free-read-leaf"/>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1207</Words>
  <Characters>1475</Characters>
  <Lines>26</Lines>
  <Paragraphs>7</Paragraphs>
  <TotalTime>0</TotalTime>
  <ScaleCrop>false</ScaleCrop>
  <LinksUpToDate>false</LinksUpToDate>
  <CharactersWithSpaces>1630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2023-05-30T06:42:00Z</dcterms:created>
  <dc:creator>Admin</dc:creator>
  <cp:lastModifiedBy>蓝风</cp:lastModifiedBy>
  <cp:lastPrinted>2023-06-20T07:45:00Z</cp:lastPrinted>
  <dcterms:modified xsi:type="dcterms:W3CDTF">2025-11-19T06:18:30Z</dcterms:modified>
  <dc:title>设备科：</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CB1A7F9F6AA24DF48A3E3B7973F34B3C_13</vt:lpwstr>
  </property>
  <property fmtid="{D5CDD505-2E9C-101B-9397-08002B2CF9AE}" pid="4" name="KSOTemplateDocerSaveRecord">
    <vt:lpwstr>eyJoZGlkIjoiMzcyYzQ4MzExOWIxM2ZmZWE3MDIzNjczNzVlZjFmOWYiLCJ1c2VySWQiOiIxNzAwODQwNTc2In0=</vt:lpwstr>
  </property>
</Properties>
</file>