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94D47">
      <w:pPr>
        <w:pStyle w:val="19"/>
        <w:spacing w:before="75" w:beforeAutospacing="0" w:after="75" w:afterAutospacing="0"/>
        <w:jc w:val="center"/>
        <w:rPr>
          <w:rFonts w:ascii="宋体" w:hAnsi="宋体" w:eastAsia="宋体" w:cs="宋体"/>
          <w:b/>
          <w:bCs/>
          <w:sz w:val="32"/>
          <w:szCs w:val="32"/>
        </w:rPr>
      </w:pPr>
    </w:p>
    <w:p w14:paraId="0AF66EC3">
      <w:pPr>
        <w:adjustRightInd/>
        <w:snapToGrid/>
        <w:spacing w:after="0" w:line="480" w:lineRule="atLeast"/>
        <w:jc w:val="center"/>
        <w:rPr>
          <w:rFonts w:ascii="宋体" w:hAnsi="宋体" w:eastAsia="宋体" w:cs="宋体"/>
          <w:b/>
          <w:bCs/>
          <w:color w:val="404040"/>
          <w:sz w:val="32"/>
          <w:szCs w:val="32"/>
        </w:rPr>
      </w:pPr>
      <w:bookmarkStart w:id="0" w:name="_Hlk170136374"/>
      <w:bookmarkStart w:id="1" w:name="_Hlk153809214"/>
      <w:r>
        <w:rPr>
          <w:rFonts w:hint="eastAsia" w:ascii="宋体" w:hAnsi="宋体" w:eastAsia="宋体" w:cs="宋体"/>
          <w:b/>
          <w:bCs/>
          <w:color w:val="404040"/>
          <w:sz w:val="32"/>
          <w:szCs w:val="32"/>
        </w:rPr>
        <w:t>福建省肿瘤医院</w:t>
      </w:r>
      <w:bookmarkEnd w:id="0"/>
      <w:bookmarkEnd w:id="1"/>
      <w:r>
        <w:rPr>
          <w:rFonts w:hint="eastAsia" w:ascii="宋体" w:hAnsi="宋体" w:eastAsia="宋体" w:cs="宋体"/>
          <w:b/>
          <w:bCs/>
          <w:color w:val="404040"/>
          <w:sz w:val="32"/>
          <w:szCs w:val="32"/>
          <w:lang w:val="en-US" w:eastAsia="zh-CN"/>
        </w:rPr>
        <w:t>外科楼BA系统维护</w:t>
      </w:r>
      <w:r>
        <w:rPr>
          <w:rFonts w:hint="eastAsia" w:ascii="宋体" w:hAnsi="宋体" w:eastAsia="宋体" w:cs="宋体"/>
          <w:b/>
          <w:bCs/>
          <w:color w:val="404040"/>
          <w:sz w:val="32"/>
          <w:szCs w:val="32"/>
        </w:rPr>
        <w:t>招标采购公告</w:t>
      </w:r>
    </w:p>
    <w:p w14:paraId="266AEA9E">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一、招标项目概况和范围</w:t>
      </w:r>
    </w:p>
    <w:p w14:paraId="329D8F5B">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项目名称：福建省肿瘤医院外科楼BA系统维护</w:t>
      </w:r>
    </w:p>
    <w:p w14:paraId="5DFC5E55">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项目地点：福马路420号。</w:t>
      </w:r>
    </w:p>
    <w:p w14:paraId="03E21B8A">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招标范围和内容：详见本项目维修清单。</w:t>
      </w:r>
    </w:p>
    <w:p w14:paraId="12AF6050">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承包方式：包工包料。</w:t>
      </w:r>
    </w:p>
    <w:p w14:paraId="2A274B05">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sz w:val="26"/>
          <w:szCs w:val="26"/>
        </w:rPr>
        <w:t>工期要求：合同签订后，接甲方通知后，</w:t>
      </w:r>
      <w:r>
        <w:rPr>
          <w:rFonts w:hint="eastAsia" w:ascii="宋体" w:hAnsi="宋体" w:eastAsia="宋体" w:cs="宋体"/>
          <w:sz w:val="26"/>
          <w:szCs w:val="26"/>
          <w:lang w:val="en-US" w:eastAsia="zh-CN"/>
        </w:rPr>
        <w:t>45</w:t>
      </w:r>
      <w:r>
        <w:rPr>
          <w:rFonts w:hint="eastAsia" w:ascii="宋体" w:hAnsi="宋体" w:eastAsia="宋体" w:cs="宋体"/>
          <w:sz w:val="26"/>
          <w:szCs w:val="26"/>
        </w:rPr>
        <w:t>个</w:t>
      </w:r>
      <w:r>
        <w:rPr>
          <w:rFonts w:hint="eastAsia" w:ascii="宋体" w:hAnsi="宋体" w:eastAsia="宋体" w:cs="宋体"/>
          <w:sz w:val="26"/>
          <w:szCs w:val="26"/>
          <w:lang w:eastAsia="zh-CN"/>
        </w:rPr>
        <w:t>日历日</w:t>
      </w:r>
      <w:r>
        <w:rPr>
          <w:rFonts w:hint="eastAsia" w:ascii="宋体" w:hAnsi="宋体" w:eastAsia="宋体" w:cs="宋体"/>
          <w:sz w:val="26"/>
          <w:szCs w:val="26"/>
        </w:rPr>
        <w:t>内完工，要求不影响医院的正常工作。</w:t>
      </w:r>
    </w:p>
    <w:p w14:paraId="18BD47B5">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rPr>
        <w:t>控制价：</w:t>
      </w:r>
      <w:r>
        <w:rPr>
          <w:rFonts w:hint="eastAsia" w:ascii="宋体" w:hAnsi="宋体" w:eastAsia="宋体" w:cs="宋体"/>
          <w:bCs/>
          <w:color w:val="404040"/>
          <w:sz w:val="26"/>
          <w:szCs w:val="26"/>
          <w:lang w:val="en-US" w:eastAsia="zh-CN"/>
        </w:rPr>
        <w:t>26</w:t>
      </w:r>
      <w:r>
        <w:rPr>
          <w:rFonts w:hint="eastAsia" w:ascii="宋体" w:hAnsi="宋体" w:eastAsia="宋体" w:cs="宋体"/>
          <w:bCs/>
          <w:color w:val="404040"/>
          <w:sz w:val="26"/>
          <w:szCs w:val="26"/>
        </w:rPr>
        <w:t>万元。</w:t>
      </w:r>
    </w:p>
    <w:p w14:paraId="7C08B5D2">
      <w:pPr>
        <w:pStyle w:val="39"/>
        <w:numPr>
          <w:ilvl w:val="0"/>
          <w:numId w:val="1"/>
        </w:numPr>
        <w:adjustRightInd/>
        <w:snapToGrid/>
        <w:spacing w:after="0" w:line="480" w:lineRule="atLeast"/>
        <w:contextualSpacing w:val="0"/>
        <w:rPr>
          <w:rFonts w:ascii="宋体" w:hAnsi="宋体" w:eastAsia="宋体" w:cs="宋体"/>
          <w:b/>
          <w:bCs/>
          <w:color w:val="404040"/>
          <w:sz w:val="32"/>
          <w:szCs w:val="32"/>
        </w:rPr>
      </w:pPr>
      <w:r>
        <w:rPr>
          <w:rFonts w:hint="eastAsia" w:ascii="宋体" w:hAnsi="宋体" w:eastAsia="宋体" w:cs="宋体"/>
          <w:color w:val="404040"/>
          <w:sz w:val="26"/>
          <w:szCs w:val="26"/>
          <w:lang w:val="en-US" w:eastAsia="zh-CN"/>
        </w:rPr>
        <w:t>维保期</w:t>
      </w:r>
      <w:r>
        <w:rPr>
          <w:rFonts w:hint="eastAsia" w:ascii="宋体" w:hAnsi="宋体" w:eastAsia="宋体" w:cs="宋体"/>
          <w:color w:val="404040"/>
          <w:sz w:val="26"/>
          <w:szCs w:val="26"/>
        </w:rPr>
        <w:t>：</w:t>
      </w:r>
      <w:r>
        <w:rPr>
          <w:rFonts w:hint="eastAsia" w:ascii="宋体" w:hAnsi="宋体" w:eastAsia="宋体" w:cs="宋体"/>
          <w:color w:val="404040"/>
          <w:sz w:val="26"/>
          <w:szCs w:val="26"/>
          <w:lang w:val="en-US" w:eastAsia="zh-CN"/>
        </w:rPr>
        <w:t>两</w:t>
      </w:r>
      <w:r>
        <w:rPr>
          <w:rFonts w:hint="eastAsia" w:ascii="宋体" w:hAnsi="宋体" w:eastAsia="宋体" w:cs="宋体"/>
          <w:color w:val="404040"/>
          <w:sz w:val="26"/>
          <w:szCs w:val="26"/>
        </w:rPr>
        <w:t>年，自工程竣工验收合格之日算起。</w:t>
      </w:r>
    </w:p>
    <w:p w14:paraId="3D66DCCF">
      <w:pPr>
        <w:adjustRightInd/>
        <w:snapToGrid/>
        <w:spacing w:after="0" w:line="480" w:lineRule="atLeast"/>
        <w:rPr>
          <w:rFonts w:ascii="宋体" w:hAnsi="宋体" w:eastAsia="宋体" w:cs="宋体"/>
          <w:b/>
          <w:bCs/>
          <w:color w:val="404040"/>
          <w:sz w:val="32"/>
          <w:szCs w:val="32"/>
        </w:rPr>
      </w:pPr>
      <w:r>
        <w:rPr>
          <w:rFonts w:hint="eastAsia" w:ascii="黑体" w:hAnsi="黑体" w:eastAsia="黑体" w:cs="宋体"/>
          <w:b/>
          <w:bCs/>
          <w:color w:val="404040"/>
          <w:sz w:val="26"/>
        </w:rPr>
        <w:t>二、投标人资格要求及审查办法</w:t>
      </w:r>
    </w:p>
    <w:p w14:paraId="69589080">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满足《中华人民共和国政府采购法》第二十二条规定。</w:t>
      </w:r>
    </w:p>
    <w:p w14:paraId="22E16C38">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落实政府采购政策需满足的资格要求。</w:t>
      </w:r>
    </w:p>
    <w:p w14:paraId="130270E6">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委托代表人资格证明书（附法人及委托人身份证）。</w:t>
      </w:r>
    </w:p>
    <w:p w14:paraId="514FDA09">
      <w:pPr>
        <w:pStyle w:val="39"/>
        <w:numPr>
          <w:ilvl w:val="0"/>
          <w:numId w:val="2"/>
        </w:numPr>
        <w:rPr>
          <w:rFonts w:ascii="宋体" w:hAnsi="宋体" w:eastAsia="宋体" w:cs="宋体"/>
          <w:color w:val="404040"/>
          <w:sz w:val="26"/>
          <w:szCs w:val="26"/>
        </w:rPr>
      </w:pPr>
      <w:r>
        <w:rPr>
          <w:rFonts w:hint="eastAsia" w:ascii="宋体" w:hAnsi="宋体" w:eastAsia="宋体" w:cs="宋体"/>
          <w:color w:val="404040"/>
          <w:sz w:val="26"/>
          <w:szCs w:val="26"/>
        </w:rPr>
        <w:t>财务状况报告（最近一个年度经审计的财务报告或资信证明或投标担保函）；</w:t>
      </w:r>
    </w:p>
    <w:p w14:paraId="1CD2D2BF">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参加本次活动前三年内，在经营活动中没有重大违法违规记录的承诺。</w:t>
      </w:r>
    </w:p>
    <w:p w14:paraId="419FCA7B">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资格审查采用方式：资格后审。</w:t>
      </w:r>
    </w:p>
    <w:p w14:paraId="20FA8655">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本招标项目不接受联合体投标，不接受备选投标方案，不允许分包。</w:t>
      </w:r>
    </w:p>
    <w:p w14:paraId="09132766">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投标人应通过“信用中国（</w:t>
      </w:r>
      <w:r>
        <w:fldChar w:fldCharType="begin"/>
      </w:r>
      <w:r>
        <w:instrText xml:space="preserve"> HYPERLINK "http://www.creditchina.gov.cn/" </w:instrText>
      </w:r>
      <w:r>
        <w:fldChar w:fldCharType="separate"/>
      </w:r>
      <w:r>
        <w:rPr>
          <w:rFonts w:hint="eastAsia"/>
          <w:color w:val="404040"/>
        </w:rPr>
        <w:t>www.creditchina.gov.cn</w:t>
      </w:r>
      <w:r>
        <w:rPr>
          <w:rFonts w:hint="eastAsia"/>
          <w:color w:val="404040"/>
        </w:rPr>
        <w:fldChar w:fldCharType="end"/>
      </w:r>
      <w:r>
        <w:rPr>
          <w:rFonts w:hint="eastAsia" w:ascii="宋体" w:hAnsi="宋体" w:eastAsia="宋体" w:cs="宋体"/>
          <w:color w:val="404040"/>
          <w:sz w:val="26"/>
          <w:szCs w:val="26"/>
        </w:rPr>
        <w:t>)”、“中国政府采购网(</w:t>
      </w:r>
      <w:r>
        <w:fldChar w:fldCharType="begin"/>
      </w:r>
      <w:r>
        <w:instrText xml:space="preserve"> HYPERLINK "http://www.ccgp.gov.cn" </w:instrText>
      </w:r>
      <w:r>
        <w:fldChar w:fldCharType="separate"/>
      </w:r>
      <w:r>
        <w:rPr>
          <w:rFonts w:hint="eastAsia"/>
          <w:color w:val="404040"/>
        </w:rPr>
        <w:t>www.ccgp.gov.cn</w:t>
      </w:r>
      <w:r>
        <w:rPr>
          <w:rFonts w:hint="eastAsia"/>
          <w:color w:val="404040"/>
        </w:rPr>
        <w:fldChar w:fldCharType="end"/>
      </w:r>
      <w:r>
        <w:rPr>
          <w:rFonts w:hint="eastAsia" w:ascii="宋体" w:hAnsi="宋体" w:eastAsia="宋体" w:cs="宋体"/>
          <w:color w:val="404040"/>
          <w:sz w:val="26"/>
          <w:szCs w:val="26"/>
        </w:rPr>
        <w:t>)”查询并打印相应的信用记录。</w:t>
      </w:r>
    </w:p>
    <w:p w14:paraId="550D3584">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并列入医院供应商黑名单，院方有权在今后采购活动中拒绝接受其投标材料。</w:t>
      </w:r>
    </w:p>
    <w:p w14:paraId="5D0955FF">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现场勘察：本次招标，采购人不统一组织勘察现场。各潜在投标人若需要查勘现场，应事先与采购人联系现场勘察事宜。</w:t>
      </w:r>
    </w:p>
    <w:p w14:paraId="5768006F">
      <w:pPr>
        <w:pStyle w:val="39"/>
        <w:numPr>
          <w:ilvl w:val="0"/>
          <w:numId w:val="2"/>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上述提供材料均须加盖公章。</w:t>
      </w:r>
    </w:p>
    <w:p w14:paraId="56F5F154">
      <w:pPr>
        <w:adjustRightInd/>
        <w:snapToGrid/>
        <w:spacing w:before="150" w:after="0" w:line="480" w:lineRule="atLeast"/>
        <w:ind w:firstLine="520" w:firstLineChars="200"/>
        <w:jc w:val="both"/>
        <w:rPr>
          <w:rFonts w:hint="eastAsia" w:ascii="宋体" w:hAnsi="宋体" w:eastAsia="宋体" w:cs="宋体"/>
          <w:color w:val="404040"/>
          <w:sz w:val="26"/>
          <w:szCs w:val="26"/>
        </w:rPr>
      </w:pPr>
      <w:r>
        <w:rPr>
          <w:rFonts w:hint="eastAsia" w:cs="宋体" w:asciiTheme="minorEastAsia" w:hAnsiTheme="minorEastAsia" w:eastAsiaTheme="minorEastAsia"/>
          <w:color w:val="404040"/>
          <w:sz w:val="26"/>
          <w:szCs w:val="26"/>
        </w:rPr>
        <w:t>备注：本项目基本资格条件采取“信用承诺制”，投标人提供资格承诺函(格式详见附件)的即可参加采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2259A9C0">
      <w:pPr>
        <w:pStyle w:val="39"/>
        <w:numPr>
          <w:ilvl w:val="0"/>
          <w:numId w:val="0"/>
        </w:numPr>
        <w:adjustRightInd/>
        <w:snapToGrid/>
        <w:spacing w:after="0" w:line="480" w:lineRule="atLeast"/>
        <w:ind w:left="390" w:leftChars="0"/>
        <w:contextualSpacing w:val="0"/>
        <w:rPr>
          <w:rFonts w:ascii="宋体" w:hAnsi="宋体" w:eastAsia="宋体" w:cs="宋体"/>
          <w:color w:val="404040"/>
          <w:sz w:val="26"/>
          <w:szCs w:val="26"/>
        </w:rPr>
      </w:pPr>
    </w:p>
    <w:p w14:paraId="4E7D9C20">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三、招标文件的获取</w:t>
      </w:r>
    </w:p>
    <w:p w14:paraId="35E40221">
      <w:pPr>
        <w:adjustRightInd/>
        <w:snapToGrid/>
        <w:spacing w:before="150" w:after="0" w:line="480" w:lineRule="atLeast"/>
        <w:jc w:val="both"/>
        <w:rPr>
          <w:rFonts w:ascii="方正仿宋简体" w:hAnsi="宋体" w:eastAsia="方正仿宋简体" w:cs="宋体"/>
          <w:color w:val="404040"/>
          <w:sz w:val="28"/>
          <w:szCs w:val="28"/>
        </w:rPr>
      </w:pPr>
      <w:r>
        <w:rPr>
          <w:rFonts w:hint="eastAsia" w:ascii="宋体" w:hAnsi="宋体" w:eastAsia="宋体" w:cs="宋体"/>
          <w:color w:val="404040"/>
          <w:sz w:val="26"/>
          <w:szCs w:val="26"/>
        </w:rPr>
        <w:t>1、本招标项目不采用电子招投标。</w:t>
      </w:r>
    </w:p>
    <w:p w14:paraId="5464E5D8">
      <w:pPr>
        <w:adjustRightInd/>
        <w:snapToGrid/>
        <w:spacing w:before="150" w:after="0" w:line="480" w:lineRule="atLeast"/>
        <w:jc w:val="both"/>
        <w:rPr>
          <w:rFonts w:ascii="宋体" w:hAnsi="宋体" w:eastAsia="宋体" w:cs="宋体"/>
          <w:color w:val="404040"/>
          <w:sz w:val="26"/>
          <w:szCs w:val="26"/>
        </w:rPr>
      </w:pPr>
      <w:r>
        <w:rPr>
          <w:rFonts w:hint="eastAsia" w:ascii="宋体" w:hAnsi="宋体" w:eastAsia="宋体" w:cs="宋体"/>
          <w:color w:val="404040"/>
          <w:sz w:val="26"/>
          <w:szCs w:val="26"/>
        </w:rPr>
        <w:t>2、凡有意参加投标者，均可在福建省肿瘤医院官网（</w:t>
      </w:r>
      <w:r>
        <w:rPr>
          <w:rFonts w:ascii="宋体" w:hAnsi="宋体" w:eastAsia="宋体" w:cs="宋体"/>
          <w:color w:val="404040"/>
          <w:sz w:val="26"/>
          <w:szCs w:val="26"/>
        </w:rPr>
        <w:t>https://www.fjzl.com.cn</w:t>
      </w:r>
      <w:r>
        <w:rPr>
          <w:rFonts w:hint="eastAsia" w:ascii="宋体" w:hAnsi="宋体" w:eastAsia="宋体" w:cs="宋体"/>
          <w:color w:val="404040"/>
          <w:sz w:val="26"/>
          <w:szCs w:val="26"/>
        </w:rPr>
        <w:t>）下载与本项目相关的招标信息（包括招标</w:t>
      </w:r>
      <w:r>
        <w:rPr>
          <w:rFonts w:hint="eastAsia" w:ascii="宋体" w:hAnsi="宋体" w:eastAsia="宋体" w:cs="宋体"/>
          <w:color w:val="404040"/>
          <w:sz w:val="26"/>
          <w:szCs w:val="26"/>
          <w:highlight w:val="none"/>
        </w:rPr>
        <w:t>文件、招标文件补充说明等），并于202</w:t>
      </w:r>
      <w:r>
        <w:rPr>
          <w:rFonts w:hint="eastAsia" w:ascii="宋体" w:hAnsi="宋体" w:eastAsia="宋体" w:cs="宋体"/>
          <w:color w:val="404040"/>
          <w:sz w:val="26"/>
          <w:szCs w:val="26"/>
          <w:highlight w:val="none"/>
          <w:lang w:val="en-US" w:eastAsia="zh-CN"/>
        </w:rPr>
        <w:t>5</w:t>
      </w:r>
      <w:r>
        <w:rPr>
          <w:rFonts w:hint="eastAsia" w:ascii="宋体" w:hAnsi="宋体" w:eastAsia="宋体" w:cs="宋体"/>
          <w:color w:val="404040"/>
          <w:sz w:val="26"/>
          <w:szCs w:val="26"/>
          <w:highlight w:val="none"/>
        </w:rPr>
        <w:t>年</w:t>
      </w:r>
      <w:r>
        <w:rPr>
          <w:rFonts w:hint="eastAsia" w:ascii="宋体" w:hAnsi="宋体" w:eastAsia="宋体" w:cs="宋体"/>
          <w:color w:val="404040"/>
          <w:sz w:val="26"/>
          <w:szCs w:val="26"/>
          <w:highlight w:val="none"/>
          <w:lang w:val="en-US" w:eastAsia="zh-CN"/>
        </w:rPr>
        <w:t>11</w:t>
      </w:r>
      <w:r>
        <w:rPr>
          <w:rFonts w:hint="eastAsia" w:ascii="宋体" w:hAnsi="宋体" w:eastAsia="宋体" w:cs="宋体"/>
          <w:color w:val="404040"/>
          <w:sz w:val="26"/>
          <w:szCs w:val="26"/>
          <w:highlight w:val="none"/>
        </w:rPr>
        <w:t>月</w:t>
      </w:r>
      <w:r>
        <w:rPr>
          <w:rFonts w:hint="eastAsia" w:ascii="宋体" w:hAnsi="宋体" w:eastAsia="宋体" w:cs="宋体"/>
          <w:color w:val="404040"/>
          <w:sz w:val="26"/>
          <w:szCs w:val="26"/>
          <w:highlight w:val="none"/>
          <w:lang w:val="en-US" w:eastAsia="zh-CN"/>
        </w:rPr>
        <w:t>20</w:t>
      </w:r>
      <w:r>
        <w:rPr>
          <w:rFonts w:hint="eastAsia" w:ascii="宋体" w:hAnsi="宋体" w:eastAsia="宋体" w:cs="宋体"/>
          <w:color w:val="404040"/>
          <w:sz w:val="26"/>
          <w:szCs w:val="26"/>
          <w:highlight w:val="none"/>
        </w:rPr>
        <w:t>日至202</w:t>
      </w:r>
      <w:r>
        <w:rPr>
          <w:rFonts w:hint="eastAsia" w:ascii="宋体" w:hAnsi="宋体" w:eastAsia="宋体" w:cs="宋体"/>
          <w:color w:val="404040"/>
          <w:sz w:val="26"/>
          <w:szCs w:val="26"/>
          <w:highlight w:val="none"/>
          <w:lang w:val="en-US" w:eastAsia="zh-CN"/>
        </w:rPr>
        <w:t>5</w:t>
      </w:r>
      <w:r>
        <w:rPr>
          <w:rFonts w:hint="eastAsia" w:ascii="宋体" w:hAnsi="宋体" w:eastAsia="宋体" w:cs="宋体"/>
          <w:color w:val="404040"/>
          <w:sz w:val="26"/>
          <w:szCs w:val="26"/>
          <w:highlight w:val="none"/>
        </w:rPr>
        <w:t>年</w:t>
      </w:r>
      <w:r>
        <w:rPr>
          <w:rFonts w:hint="eastAsia" w:ascii="宋体" w:hAnsi="宋体" w:eastAsia="宋体" w:cs="宋体"/>
          <w:color w:val="404040"/>
          <w:sz w:val="26"/>
          <w:szCs w:val="26"/>
          <w:highlight w:val="none"/>
          <w:lang w:val="en-US" w:eastAsia="zh-CN"/>
        </w:rPr>
        <w:t>11</w:t>
      </w:r>
      <w:r>
        <w:rPr>
          <w:rFonts w:hint="eastAsia" w:ascii="宋体" w:hAnsi="宋体" w:eastAsia="宋体" w:cs="宋体"/>
          <w:color w:val="404040"/>
          <w:sz w:val="26"/>
          <w:szCs w:val="26"/>
          <w:highlight w:val="none"/>
        </w:rPr>
        <w:t>月2</w:t>
      </w:r>
      <w:r>
        <w:rPr>
          <w:rFonts w:hint="eastAsia" w:ascii="宋体" w:hAnsi="宋体" w:eastAsia="宋体" w:cs="宋体"/>
          <w:color w:val="404040"/>
          <w:sz w:val="26"/>
          <w:szCs w:val="26"/>
          <w:highlight w:val="none"/>
          <w:lang w:val="en-US" w:eastAsia="zh-CN"/>
        </w:rPr>
        <w:t>6</w:t>
      </w:r>
      <w:r>
        <w:rPr>
          <w:rFonts w:hint="eastAsia" w:ascii="宋体" w:hAnsi="宋体" w:eastAsia="宋体" w:cs="宋体"/>
          <w:color w:val="404040"/>
          <w:sz w:val="26"/>
          <w:szCs w:val="26"/>
          <w:highlight w:val="none"/>
        </w:rPr>
        <w:t>日(节假日除外)8：00-12：00或14：</w:t>
      </w:r>
      <w:r>
        <w:rPr>
          <w:rFonts w:hint="eastAsia" w:ascii="宋体" w:hAnsi="宋体" w:eastAsia="宋体" w:cs="宋体"/>
          <w:color w:val="404040"/>
          <w:sz w:val="26"/>
          <w:szCs w:val="26"/>
          <w:highlight w:val="none"/>
          <w:lang w:val="en-US" w:eastAsia="zh-CN"/>
        </w:rPr>
        <w:t>0</w:t>
      </w:r>
      <w:r>
        <w:rPr>
          <w:rFonts w:hint="eastAsia" w:ascii="宋体" w:hAnsi="宋体" w:eastAsia="宋体" w:cs="宋体"/>
          <w:color w:val="404040"/>
          <w:sz w:val="26"/>
          <w:szCs w:val="26"/>
          <w:highlight w:val="none"/>
        </w:rPr>
        <w:t>0-17：</w:t>
      </w:r>
      <w:r>
        <w:rPr>
          <w:rFonts w:hint="eastAsia" w:ascii="宋体" w:hAnsi="宋体" w:eastAsia="宋体" w:cs="宋体"/>
          <w:color w:val="404040"/>
          <w:sz w:val="26"/>
          <w:szCs w:val="26"/>
          <w:highlight w:val="none"/>
          <w:lang w:val="en-US" w:eastAsia="zh-CN"/>
        </w:rPr>
        <w:t>0</w:t>
      </w:r>
      <w:r>
        <w:rPr>
          <w:rFonts w:hint="eastAsia" w:ascii="宋体" w:hAnsi="宋体" w:eastAsia="宋体" w:cs="宋体"/>
          <w:color w:val="404040"/>
          <w:sz w:val="26"/>
          <w:szCs w:val="26"/>
          <w:highlight w:val="none"/>
        </w:rPr>
        <w:t>0，携带加盖公章的营业执照复印件、介绍信前往福建省肿瘤医院总务科报名。</w:t>
      </w:r>
    </w:p>
    <w:p w14:paraId="37AB439C">
      <w:pPr>
        <w:adjustRightInd/>
        <w:snapToGrid/>
        <w:spacing w:before="150" w:after="0" w:line="480" w:lineRule="atLeast"/>
        <w:jc w:val="both"/>
        <w:rPr>
          <w:rFonts w:ascii="方正仿宋简体" w:hAnsi="宋体" w:eastAsia="方正仿宋简体" w:cs="宋体"/>
          <w:color w:val="404040"/>
          <w:sz w:val="28"/>
          <w:szCs w:val="28"/>
        </w:rPr>
      </w:pPr>
      <w:r>
        <w:rPr>
          <w:rFonts w:hint="eastAsia" w:ascii="宋体" w:hAnsi="宋体" w:eastAsia="宋体" w:cs="宋体"/>
          <w:color w:val="404040"/>
          <w:sz w:val="26"/>
          <w:szCs w:val="26"/>
        </w:rPr>
        <w:t>项目联系人：陈女士联系电话：0591-62752801</w:t>
      </w:r>
    </w:p>
    <w:p w14:paraId="1161B5EC">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四、答疑截止时间</w:t>
      </w:r>
    </w:p>
    <w:p w14:paraId="3CC385FB">
      <w:pPr>
        <w:adjustRightInd/>
        <w:snapToGrid/>
        <w:spacing w:before="150" w:after="0" w:line="480" w:lineRule="atLeast"/>
        <w:ind w:firstLine="480"/>
        <w:jc w:val="both"/>
        <w:rPr>
          <w:rFonts w:ascii="方正仿宋简体" w:hAnsi="宋体" w:eastAsia="方正仿宋简体" w:cs="宋体"/>
          <w:color w:val="404040"/>
          <w:sz w:val="28"/>
          <w:szCs w:val="28"/>
        </w:rPr>
      </w:pPr>
      <w:r>
        <w:rPr>
          <w:rFonts w:hint="eastAsia" w:ascii="宋体" w:hAnsi="宋体" w:eastAsia="宋体" w:cs="宋体"/>
          <w:color w:val="404040"/>
          <w:sz w:val="26"/>
          <w:szCs w:val="26"/>
        </w:rPr>
        <w:t>投标人若要求澄清招标文件，应在获取招标文件截止时间后的2个工作日内提出，招标人将随时解答。</w:t>
      </w:r>
    </w:p>
    <w:p w14:paraId="6D0F1ED5">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五、投标文件的要求及递交</w:t>
      </w:r>
    </w:p>
    <w:p w14:paraId="04A72325">
      <w:pPr>
        <w:pStyle w:val="39"/>
        <w:numPr>
          <w:ilvl w:val="0"/>
          <w:numId w:val="3"/>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投标文件正本壹份</w:t>
      </w:r>
      <w:r>
        <w:rPr>
          <w:rFonts w:ascii="宋体" w:hAnsi="宋体" w:eastAsia="宋体" w:cs="宋体"/>
          <w:color w:val="404040"/>
          <w:sz w:val="26"/>
          <w:szCs w:val="26"/>
        </w:rPr>
        <w:t>,</w:t>
      </w:r>
      <w:r>
        <w:rPr>
          <w:rFonts w:hint="eastAsia" w:ascii="宋体" w:hAnsi="宋体" w:eastAsia="宋体" w:cs="宋体"/>
          <w:color w:val="404040"/>
          <w:sz w:val="26"/>
          <w:szCs w:val="26"/>
        </w:rPr>
        <w:t>副本壹份胶装并密封加盖投标人公章。投标文件未胶装密封将导致其投标文件被拒绝。</w:t>
      </w:r>
    </w:p>
    <w:p w14:paraId="676E4BD3">
      <w:pPr>
        <w:pStyle w:val="39"/>
        <w:numPr>
          <w:ilvl w:val="0"/>
          <w:numId w:val="3"/>
        </w:numPr>
        <w:adjustRightInd/>
        <w:snapToGrid/>
        <w:spacing w:after="0" w:line="480" w:lineRule="atLeast"/>
        <w:contextualSpacing w:val="0"/>
        <w:rPr>
          <w:rFonts w:ascii="宋体" w:hAnsi="宋体" w:eastAsia="宋体" w:cs="宋体"/>
          <w:color w:val="404040"/>
          <w:sz w:val="26"/>
          <w:szCs w:val="26"/>
          <w:highlight w:val="none"/>
        </w:rPr>
      </w:pPr>
      <w:r>
        <w:rPr>
          <w:rFonts w:hint="eastAsia" w:ascii="宋体" w:hAnsi="宋体" w:eastAsia="宋体" w:cs="宋体"/>
          <w:color w:val="404040"/>
          <w:sz w:val="26"/>
          <w:szCs w:val="26"/>
        </w:rPr>
        <w:t>投标文</w:t>
      </w:r>
      <w:r>
        <w:rPr>
          <w:rFonts w:hint="eastAsia" w:ascii="宋体" w:hAnsi="宋体" w:eastAsia="宋体" w:cs="宋体"/>
          <w:color w:val="404040"/>
          <w:sz w:val="26"/>
          <w:szCs w:val="26"/>
          <w:highlight w:val="none"/>
        </w:rPr>
        <w:t>件递交的截止时间：202</w:t>
      </w:r>
      <w:r>
        <w:rPr>
          <w:rFonts w:hint="eastAsia" w:ascii="宋体" w:hAnsi="宋体" w:eastAsia="宋体" w:cs="宋体"/>
          <w:color w:val="404040"/>
          <w:sz w:val="26"/>
          <w:szCs w:val="26"/>
          <w:highlight w:val="none"/>
          <w:lang w:val="en-US" w:eastAsia="zh-CN"/>
        </w:rPr>
        <w:t>5</w:t>
      </w:r>
      <w:r>
        <w:rPr>
          <w:rFonts w:hint="eastAsia" w:ascii="宋体" w:hAnsi="宋体" w:eastAsia="宋体" w:cs="宋体"/>
          <w:color w:val="404040"/>
          <w:sz w:val="26"/>
          <w:szCs w:val="26"/>
          <w:highlight w:val="none"/>
        </w:rPr>
        <w:t>年</w:t>
      </w:r>
      <w:r>
        <w:rPr>
          <w:rFonts w:hint="eastAsia" w:ascii="宋体" w:hAnsi="宋体" w:eastAsia="宋体" w:cs="宋体"/>
          <w:color w:val="404040"/>
          <w:sz w:val="26"/>
          <w:szCs w:val="26"/>
          <w:highlight w:val="none"/>
          <w:lang w:val="en-US" w:eastAsia="zh-CN"/>
        </w:rPr>
        <w:t>11</w:t>
      </w:r>
      <w:r>
        <w:rPr>
          <w:rFonts w:hint="eastAsia" w:ascii="宋体" w:hAnsi="宋体" w:eastAsia="宋体" w:cs="宋体"/>
          <w:color w:val="404040"/>
          <w:sz w:val="26"/>
          <w:szCs w:val="26"/>
          <w:highlight w:val="none"/>
        </w:rPr>
        <w:t>月2</w:t>
      </w:r>
      <w:r>
        <w:rPr>
          <w:rFonts w:hint="eastAsia" w:ascii="宋体" w:hAnsi="宋体" w:eastAsia="宋体" w:cs="宋体"/>
          <w:color w:val="404040"/>
          <w:sz w:val="26"/>
          <w:szCs w:val="26"/>
          <w:highlight w:val="none"/>
          <w:lang w:val="en-US" w:eastAsia="zh-CN"/>
        </w:rPr>
        <w:t>7</w:t>
      </w:r>
      <w:r>
        <w:rPr>
          <w:rFonts w:hint="eastAsia" w:ascii="宋体" w:hAnsi="宋体" w:eastAsia="宋体" w:cs="宋体"/>
          <w:color w:val="404040"/>
          <w:sz w:val="26"/>
          <w:szCs w:val="26"/>
          <w:highlight w:val="none"/>
        </w:rPr>
        <w:t>日</w:t>
      </w:r>
      <w:r>
        <w:rPr>
          <w:rFonts w:hint="eastAsia" w:ascii="宋体" w:hAnsi="宋体" w:eastAsia="宋体" w:cs="宋体"/>
          <w:color w:val="404040"/>
          <w:sz w:val="26"/>
          <w:szCs w:val="26"/>
          <w:highlight w:val="none"/>
          <w:lang w:val="en-US" w:eastAsia="zh-CN"/>
        </w:rPr>
        <w:t>9</w:t>
      </w:r>
      <w:r>
        <w:rPr>
          <w:rFonts w:hint="eastAsia" w:ascii="宋体" w:hAnsi="宋体" w:eastAsia="宋体" w:cs="宋体"/>
          <w:color w:val="404040"/>
          <w:sz w:val="26"/>
          <w:szCs w:val="26"/>
          <w:highlight w:val="none"/>
        </w:rPr>
        <w:t>:00，提交地点为福建省肿瘤医院总务科，未送达指定地点或逾期送达者拒收。</w:t>
      </w:r>
    </w:p>
    <w:p w14:paraId="53299D4D">
      <w:pPr>
        <w:adjustRightInd/>
        <w:snapToGrid/>
        <w:spacing w:before="150" w:after="0" w:line="480" w:lineRule="atLeast"/>
        <w:jc w:val="both"/>
        <w:rPr>
          <w:rFonts w:ascii="黑体" w:hAnsi="黑体" w:eastAsia="黑体" w:cs="宋体"/>
          <w:b/>
          <w:bCs/>
          <w:color w:val="404040"/>
          <w:sz w:val="26"/>
          <w:highlight w:val="none"/>
        </w:rPr>
      </w:pPr>
      <w:r>
        <w:rPr>
          <w:rFonts w:hint="eastAsia" w:ascii="黑体" w:hAnsi="黑体" w:eastAsia="黑体" w:cs="宋体"/>
          <w:b/>
          <w:bCs/>
          <w:color w:val="404040"/>
          <w:sz w:val="26"/>
          <w:highlight w:val="none"/>
        </w:rPr>
        <w:t>六、开标评标时间地点</w:t>
      </w:r>
    </w:p>
    <w:p w14:paraId="1F916843">
      <w:pPr>
        <w:adjustRightInd/>
        <w:snapToGrid/>
        <w:spacing w:before="150" w:after="0" w:line="480" w:lineRule="atLeast"/>
        <w:ind w:firstLine="390" w:firstLineChars="150"/>
        <w:jc w:val="both"/>
        <w:rPr>
          <w:rFonts w:ascii="宋体" w:hAnsi="宋体" w:eastAsia="宋体" w:cs="宋体"/>
          <w:color w:val="404040"/>
          <w:sz w:val="26"/>
          <w:szCs w:val="26"/>
          <w:highlight w:val="none"/>
        </w:rPr>
      </w:pPr>
      <w:r>
        <w:rPr>
          <w:rFonts w:hint="eastAsia" w:ascii="宋体" w:hAnsi="宋体" w:eastAsia="宋体" w:cs="宋体"/>
          <w:color w:val="404040"/>
          <w:sz w:val="26"/>
          <w:szCs w:val="26"/>
          <w:highlight w:val="none"/>
        </w:rPr>
        <w:t>1、开标时间：202</w:t>
      </w:r>
      <w:r>
        <w:rPr>
          <w:rFonts w:hint="eastAsia" w:ascii="宋体" w:hAnsi="宋体" w:eastAsia="宋体" w:cs="宋体"/>
          <w:color w:val="404040"/>
          <w:sz w:val="26"/>
          <w:szCs w:val="26"/>
          <w:highlight w:val="none"/>
          <w:lang w:val="en-US" w:eastAsia="zh-CN"/>
        </w:rPr>
        <w:t>5</w:t>
      </w:r>
      <w:r>
        <w:rPr>
          <w:rFonts w:hint="eastAsia" w:ascii="宋体" w:hAnsi="宋体" w:eastAsia="宋体" w:cs="宋体"/>
          <w:color w:val="404040"/>
          <w:sz w:val="26"/>
          <w:szCs w:val="26"/>
          <w:highlight w:val="none"/>
        </w:rPr>
        <w:t>年</w:t>
      </w:r>
      <w:r>
        <w:rPr>
          <w:rFonts w:hint="eastAsia" w:ascii="宋体" w:hAnsi="宋体" w:eastAsia="宋体" w:cs="宋体"/>
          <w:color w:val="404040"/>
          <w:sz w:val="26"/>
          <w:szCs w:val="26"/>
          <w:highlight w:val="none"/>
          <w:lang w:val="en-US" w:eastAsia="zh-CN"/>
        </w:rPr>
        <w:t>11</w:t>
      </w:r>
      <w:r>
        <w:rPr>
          <w:rFonts w:hint="eastAsia" w:ascii="宋体" w:hAnsi="宋体" w:eastAsia="宋体" w:cs="宋体"/>
          <w:color w:val="404040"/>
          <w:sz w:val="26"/>
          <w:szCs w:val="26"/>
          <w:highlight w:val="none"/>
        </w:rPr>
        <w:t>月</w:t>
      </w:r>
      <w:r>
        <w:rPr>
          <w:rFonts w:hint="eastAsia" w:ascii="宋体" w:hAnsi="宋体" w:eastAsia="宋体" w:cs="宋体"/>
          <w:color w:val="404040"/>
          <w:sz w:val="26"/>
          <w:szCs w:val="26"/>
          <w:highlight w:val="none"/>
          <w:lang w:val="en-US" w:eastAsia="zh-CN"/>
        </w:rPr>
        <w:t>27</w:t>
      </w:r>
      <w:r>
        <w:rPr>
          <w:rFonts w:hint="eastAsia" w:ascii="宋体" w:hAnsi="宋体" w:eastAsia="宋体" w:cs="宋体"/>
          <w:color w:val="404040"/>
          <w:sz w:val="26"/>
          <w:szCs w:val="26"/>
          <w:highlight w:val="none"/>
        </w:rPr>
        <w:t>日</w:t>
      </w:r>
      <w:r>
        <w:rPr>
          <w:rFonts w:hint="eastAsia" w:ascii="宋体" w:hAnsi="宋体" w:eastAsia="宋体" w:cs="宋体"/>
          <w:color w:val="404040"/>
          <w:sz w:val="26"/>
          <w:szCs w:val="26"/>
          <w:highlight w:val="none"/>
          <w:lang w:val="en-US" w:eastAsia="zh-CN"/>
        </w:rPr>
        <w:t>9</w:t>
      </w:r>
      <w:r>
        <w:rPr>
          <w:rFonts w:hint="eastAsia" w:ascii="宋体" w:hAnsi="宋体" w:eastAsia="宋体" w:cs="宋体"/>
          <w:color w:val="404040"/>
          <w:sz w:val="26"/>
          <w:szCs w:val="26"/>
          <w:highlight w:val="none"/>
        </w:rPr>
        <w:t>:00时</w:t>
      </w:r>
    </w:p>
    <w:p w14:paraId="432EE052">
      <w:pPr>
        <w:adjustRightInd/>
        <w:snapToGrid/>
        <w:spacing w:before="150" w:after="0" w:line="480" w:lineRule="atLeast"/>
        <w:ind w:firstLine="480"/>
        <w:jc w:val="both"/>
        <w:rPr>
          <w:rFonts w:ascii="方正仿宋简体" w:hAnsi="宋体" w:eastAsia="方正仿宋简体" w:cs="宋体"/>
          <w:color w:val="404040"/>
          <w:sz w:val="28"/>
          <w:szCs w:val="28"/>
        </w:rPr>
      </w:pPr>
      <w:r>
        <w:rPr>
          <w:rFonts w:hint="eastAsia" w:ascii="宋体" w:hAnsi="宋体" w:eastAsia="宋体" w:cs="宋体"/>
          <w:color w:val="404040"/>
          <w:sz w:val="26"/>
          <w:szCs w:val="26"/>
        </w:rPr>
        <w:t>2、评标时间：开标后即开始评标。</w:t>
      </w:r>
    </w:p>
    <w:p w14:paraId="6D7D77DF">
      <w:pPr>
        <w:adjustRightInd/>
        <w:snapToGrid/>
        <w:spacing w:before="150" w:after="0" w:line="480" w:lineRule="atLeast"/>
        <w:ind w:firstLine="520" w:firstLineChars="200"/>
        <w:jc w:val="both"/>
        <w:rPr>
          <w:rFonts w:ascii="宋体" w:hAnsi="宋体" w:eastAsia="宋体" w:cs="宋体"/>
          <w:color w:val="404040"/>
          <w:sz w:val="26"/>
          <w:szCs w:val="26"/>
        </w:rPr>
      </w:pPr>
      <w:r>
        <w:rPr>
          <w:rFonts w:hint="eastAsia" w:ascii="宋体" w:hAnsi="宋体" w:eastAsia="宋体" w:cs="宋体"/>
          <w:color w:val="404040"/>
          <w:sz w:val="26"/>
          <w:szCs w:val="26"/>
        </w:rPr>
        <w:t>3、地点：福建省肿瘤医院科研楼一楼总务科</w:t>
      </w:r>
      <w:bookmarkStart w:id="2" w:name="_GoBack"/>
      <w:bookmarkEnd w:id="2"/>
    </w:p>
    <w:p w14:paraId="3717CAA8">
      <w:pPr>
        <w:adjustRightInd/>
        <w:snapToGrid/>
        <w:spacing w:before="150" w:after="0" w:line="480" w:lineRule="atLeast"/>
        <w:ind w:firstLine="480"/>
        <w:jc w:val="both"/>
        <w:rPr>
          <w:rFonts w:ascii="宋体" w:hAnsi="宋体" w:eastAsia="宋体" w:cs="宋体"/>
          <w:color w:val="404040"/>
          <w:sz w:val="26"/>
          <w:szCs w:val="26"/>
        </w:rPr>
      </w:pPr>
      <w:r>
        <w:rPr>
          <w:rFonts w:hint="eastAsia" w:ascii="宋体" w:hAnsi="宋体" w:eastAsia="宋体" w:cs="宋体"/>
          <w:color w:val="404040"/>
          <w:sz w:val="26"/>
          <w:szCs w:val="26"/>
        </w:rPr>
        <w:t>备注：</w:t>
      </w:r>
    </w:p>
    <w:p w14:paraId="448CAE7E">
      <w:pPr>
        <w:spacing w:before="150" w:line="560" w:lineRule="exact"/>
        <w:ind w:firstLine="520" w:firstLineChars="200"/>
        <w:rPr>
          <w:rFonts w:ascii="宋体" w:hAnsi="宋体" w:eastAsia="宋体" w:cs="宋体"/>
          <w:color w:val="404040"/>
          <w:sz w:val="26"/>
          <w:szCs w:val="26"/>
        </w:rPr>
      </w:pPr>
      <w:r>
        <w:rPr>
          <w:rFonts w:hint="eastAsia" w:ascii="宋体" w:hAnsi="宋体" w:eastAsia="宋体" w:cs="宋体"/>
          <w:color w:val="404040"/>
          <w:sz w:val="26"/>
          <w:szCs w:val="26"/>
        </w:rPr>
        <w:t>1. 未参加报名的潜在投标人，其投标文件将被拒绝。</w:t>
      </w:r>
    </w:p>
    <w:p w14:paraId="5696B110">
      <w:pPr>
        <w:spacing w:before="150" w:line="560" w:lineRule="exact"/>
        <w:ind w:firstLine="520" w:firstLineChars="200"/>
        <w:rPr>
          <w:rFonts w:ascii="宋体" w:hAnsi="宋体" w:eastAsia="宋体" w:cs="宋体"/>
          <w:color w:val="404040"/>
          <w:sz w:val="26"/>
          <w:szCs w:val="26"/>
        </w:rPr>
      </w:pPr>
      <w:r>
        <w:rPr>
          <w:rFonts w:hint="eastAsia" w:ascii="宋体" w:hAnsi="宋体" w:eastAsia="宋体" w:cs="宋体"/>
          <w:color w:val="404040"/>
          <w:sz w:val="26"/>
          <w:szCs w:val="26"/>
        </w:rPr>
        <w:t>2.若有涉及招标文件内容更正，请各潜在投标人密切关注福建省肿瘤医院官网通知，以最新公告为准。</w:t>
      </w:r>
    </w:p>
    <w:p w14:paraId="79886EEB">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八、评标原则及办法</w:t>
      </w:r>
    </w:p>
    <w:p w14:paraId="40309FD8">
      <w:pPr>
        <w:pStyle w:val="39"/>
        <w:numPr>
          <w:ilvl w:val="0"/>
          <w:numId w:val="4"/>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评标活动遵循公平、公正、科学和择优的原则。</w:t>
      </w:r>
    </w:p>
    <w:p w14:paraId="0D06CB4F">
      <w:pPr>
        <w:pStyle w:val="39"/>
        <w:numPr>
          <w:ilvl w:val="0"/>
          <w:numId w:val="4"/>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评标方法：</w:t>
      </w:r>
      <w:r>
        <w:rPr>
          <w:rFonts w:hint="eastAsia" w:ascii="宋体" w:hAnsi="宋体" w:eastAsia="宋体" w:cs="宋体"/>
          <w:color w:val="404040"/>
          <w:sz w:val="26"/>
          <w:szCs w:val="26"/>
          <w:lang w:val="en-US" w:eastAsia="zh-CN"/>
        </w:rPr>
        <w:t>综合评分</w:t>
      </w:r>
      <w:r>
        <w:rPr>
          <w:rFonts w:hint="eastAsia" w:ascii="宋体" w:hAnsi="宋体" w:eastAsia="宋体" w:cs="宋体"/>
          <w:color w:val="404040"/>
          <w:sz w:val="26"/>
          <w:szCs w:val="26"/>
        </w:rPr>
        <w:t>。</w:t>
      </w:r>
    </w:p>
    <w:p w14:paraId="38DE564D">
      <w:pPr>
        <w:pStyle w:val="39"/>
        <w:numPr>
          <w:ilvl w:val="0"/>
          <w:numId w:val="4"/>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投标人之间有相互串通投标、弄虚作假等违规行为者，将作废标处理，并在我院未来的项目招标中被拒绝接受投标。</w:t>
      </w:r>
    </w:p>
    <w:p w14:paraId="155387E2">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九、合同条款内容及签订</w:t>
      </w:r>
    </w:p>
    <w:p w14:paraId="51B7B943">
      <w:pPr>
        <w:pStyle w:val="39"/>
        <w:numPr>
          <w:ilvl w:val="0"/>
          <w:numId w:val="5"/>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合同专用条款内容依照国家规范文本，合同通用条款内容解释依照国家规范文本。</w:t>
      </w:r>
    </w:p>
    <w:p w14:paraId="392F5B9F">
      <w:pPr>
        <w:pStyle w:val="39"/>
        <w:numPr>
          <w:ilvl w:val="0"/>
          <w:numId w:val="5"/>
        </w:numPr>
        <w:adjustRightInd/>
        <w:snapToGrid/>
        <w:spacing w:after="0" w:line="480" w:lineRule="atLeast"/>
        <w:contextualSpacing w:val="0"/>
        <w:rPr>
          <w:rFonts w:ascii="宋体" w:hAnsi="宋体" w:eastAsia="宋体" w:cs="宋体"/>
          <w:color w:val="404040"/>
          <w:sz w:val="26"/>
          <w:szCs w:val="26"/>
        </w:rPr>
      </w:pPr>
      <w:r>
        <w:rPr>
          <w:rFonts w:hint="eastAsia" w:ascii="宋体" w:hAnsi="宋体" w:eastAsia="宋体" w:cs="宋体"/>
          <w:color w:val="404040"/>
          <w:sz w:val="26"/>
          <w:szCs w:val="26"/>
        </w:rPr>
        <w:t>合同签订：中标人在接到中标通知后3天内，应派代表与招标人联系，商讨签订合同事宜。</w:t>
      </w:r>
    </w:p>
    <w:p w14:paraId="2A7C6ADF">
      <w:pPr>
        <w:adjustRightInd/>
        <w:snapToGrid/>
        <w:spacing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十、付款方式与条件</w:t>
      </w:r>
    </w:p>
    <w:p w14:paraId="52BE1144">
      <w:pPr>
        <w:adjustRightInd/>
        <w:snapToGrid/>
        <w:spacing w:after="0" w:line="480" w:lineRule="atLeast"/>
        <w:ind w:firstLine="480"/>
        <w:jc w:val="both"/>
        <w:rPr>
          <w:rFonts w:hint="eastAsia" w:ascii="宋体" w:hAnsi="宋体" w:eastAsia="宋体" w:cs="宋体"/>
          <w:color w:val="404040"/>
          <w:sz w:val="26"/>
          <w:szCs w:val="26"/>
        </w:rPr>
      </w:pPr>
      <w:r>
        <w:rPr>
          <w:rFonts w:hint="eastAsia" w:ascii="宋体" w:hAnsi="宋体" w:eastAsia="宋体" w:cs="宋体"/>
          <w:color w:val="404040"/>
          <w:sz w:val="26"/>
          <w:szCs w:val="26"/>
        </w:rPr>
        <w:t>经甲方验收合格后，支付合同金额的</w:t>
      </w:r>
      <w:r>
        <w:rPr>
          <w:rFonts w:hint="eastAsia" w:ascii="宋体" w:hAnsi="宋体" w:eastAsia="宋体" w:cs="宋体"/>
          <w:color w:val="404040"/>
          <w:sz w:val="26"/>
          <w:szCs w:val="26"/>
          <w:lang w:val="en-US" w:eastAsia="zh-CN"/>
        </w:rPr>
        <w:t>95</w:t>
      </w:r>
      <w:r>
        <w:rPr>
          <w:rFonts w:hint="eastAsia" w:ascii="宋体" w:hAnsi="宋体" w:eastAsia="宋体" w:cs="宋体"/>
          <w:color w:val="404040"/>
          <w:sz w:val="26"/>
          <w:szCs w:val="26"/>
        </w:rPr>
        <w:t>%</w:t>
      </w:r>
      <w:r>
        <w:rPr>
          <w:rFonts w:hint="eastAsia" w:ascii="宋体" w:hAnsi="宋体" w:eastAsia="宋体" w:cs="宋体"/>
          <w:color w:val="404040"/>
          <w:sz w:val="26"/>
          <w:szCs w:val="26"/>
          <w:lang w:eastAsia="zh-CN"/>
        </w:rPr>
        <w:t>，</w:t>
      </w:r>
      <w:r>
        <w:rPr>
          <w:rFonts w:hint="eastAsia" w:ascii="宋体" w:hAnsi="宋体" w:eastAsia="宋体" w:cs="宋体"/>
          <w:color w:val="404040"/>
          <w:sz w:val="26"/>
          <w:szCs w:val="26"/>
          <w:lang w:val="en-US" w:eastAsia="zh-CN"/>
        </w:rPr>
        <w:t>维保期结束后，支付</w:t>
      </w:r>
      <w:r>
        <w:rPr>
          <w:rFonts w:hint="eastAsia" w:ascii="宋体" w:hAnsi="宋体" w:eastAsia="宋体" w:cs="宋体"/>
          <w:color w:val="404040"/>
          <w:sz w:val="26"/>
          <w:szCs w:val="26"/>
        </w:rPr>
        <w:t>合同金额的</w:t>
      </w:r>
      <w:r>
        <w:rPr>
          <w:rFonts w:hint="eastAsia" w:ascii="宋体" w:hAnsi="宋体" w:eastAsia="宋体" w:cs="宋体"/>
          <w:color w:val="404040"/>
          <w:sz w:val="26"/>
          <w:szCs w:val="26"/>
          <w:lang w:val="en-US" w:eastAsia="zh-CN"/>
        </w:rPr>
        <w:t>5</w:t>
      </w:r>
      <w:r>
        <w:rPr>
          <w:rFonts w:hint="eastAsia" w:ascii="宋体" w:hAnsi="宋体" w:eastAsia="宋体" w:cs="宋体"/>
          <w:color w:val="404040"/>
          <w:sz w:val="26"/>
          <w:szCs w:val="26"/>
        </w:rPr>
        <w:t>%。</w:t>
      </w:r>
    </w:p>
    <w:p w14:paraId="486AC53E">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十一、其他未详尽事宜</w:t>
      </w:r>
    </w:p>
    <w:p w14:paraId="5E33784B">
      <w:pPr>
        <w:adjustRightInd/>
        <w:snapToGrid/>
        <w:spacing w:before="150" w:after="0" w:line="480" w:lineRule="atLeast"/>
        <w:ind w:firstLine="480"/>
        <w:jc w:val="both"/>
        <w:rPr>
          <w:rFonts w:ascii="方正仿宋简体" w:hAnsi="宋体" w:eastAsia="方正仿宋简体" w:cs="宋体"/>
          <w:color w:val="404040"/>
          <w:sz w:val="28"/>
          <w:szCs w:val="28"/>
        </w:rPr>
      </w:pPr>
      <w:r>
        <w:rPr>
          <w:rFonts w:hint="eastAsia" w:ascii="宋体" w:hAnsi="宋体" w:eastAsia="宋体" w:cs="宋体"/>
          <w:color w:val="404040"/>
          <w:sz w:val="26"/>
          <w:szCs w:val="26"/>
        </w:rPr>
        <w:t>依照国家政府采购有关规定。</w:t>
      </w:r>
    </w:p>
    <w:p w14:paraId="02CB12DF">
      <w:pPr>
        <w:adjustRightInd/>
        <w:snapToGrid/>
        <w:spacing w:before="150" w:after="0" w:line="480" w:lineRule="atLeast"/>
        <w:jc w:val="both"/>
        <w:rPr>
          <w:rFonts w:ascii="方正仿宋简体" w:hAnsi="宋体" w:eastAsia="方正仿宋简体" w:cs="宋体"/>
          <w:color w:val="404040"/>
          <w:sz w:val="28"/>
          <w:szCs w:val="28"/>
        </w:rPr>
      </w:pPr>
      <w:r>
        <w:rPr>
          <w:rFonts w:hint="eastAsia" w:ascii="黑体" w:hAnsi="黑体" w:eastAsia="黑体" w:cs="宋体"/>
          <w:b/>
          <w:bCs/>
          <w:color w:val="404040"/>
          <w:sz w:val="26"/>
        </w:rPr>
        <w:t>十二、工程量清单</w:t>
      </w:r>
    </w:p>
    <w:p w14:paraId="661F772B">
      <w:pPr>
        <w:adjustRightInd/>
        <w:snapToGrid/>
        <w:spacing w:before="150" w:after="0" w:line="480" w:lineRule="atLeast"/>
        <w:ind w:firstLine="480"/>
        <w:jc w:val="both"/>
        <w:rPr>
          <w:rFonts w:ascii="宋体" w:hAnsi="宋体" w:eastAsia="宋体" w:cs="宋体"/>
          <w:color w:val="404040"/>
          <w:sz w:val="26"/>
          <w:szCs w:val="26"/>
        </w:rPr>
      </w:pPr>
      <w:r>
        <w:rPr>
          <w:rFonts w:hint="eastAsia" w:ascii="宋体" w:hAnsi="宋体" w:eastAsia="宋体" w:cs="宋体"/>
          <w:color w:val="404040"/>
          <w:sz w:val="26"/>
          <w:szCs w:val="26"/>
        </w:rPr>
        <w:t>1.工程量清单每一个子目只允许有一个报价，没有填入单价或价格的， 其费用视为已分摊在工程量清单中的其他相关子目单价或价格中。</w:t>
      </w:r>
    </w:p>
    <w:p w14:paraId="06853512">
      <w:pPr>
        <w:adjustRightInd/>
        <w:snapToGrid/>
        <w:spacing w:before="150" w:after="0" w:line="480" w:lineRule="atLeast"/>
        <w:jc w:val="both"/>
        <w:rPr>
          <w:rFonts w:ascii="黑体" w:hAnsi="黑体" w:eastAsia="黑体" w:cs="宋体"/>
          <w:b/>
          <w:bCs/>
          <w:color w:val="404040"/>
          <w:sz w:val="26"/>
        </w:rPr>
      </w:pPr>
      <w:r>
        <w:rPr>
          <w:rFonts w:hint="eastAsia" w:ascii="黑体" w:hAnsi="黑体" w:eastAsia="黑体" w:cs="宋体"/>
          <w:b/>
          <w:bCs/>
          <w:color w:val="404040"/>
          <w:sz w:val="26"/>
        </w:rPr>
        <w:t>十三、监督电话</w:t>
      </w:r>
    </w:p>
    <w:p w14:paraId="622BB401">
      <w:pPr>
        <w:adjustRightInd/>
        <w:snapToGrid/>
        <w:spacing w:before="150" w:after="0" w:line="480" w:lineRule="atLeast"/>
        <w:ind w:firstLine="480"/>
        <w:jc w:val="both"/>
        <w:rPr>
          <w:rFonts w:ascii="宋体" w:hAnsi="宋体" w:eastAsia="宋体" w:cs="宋体"/>
          <w:color w:val="404040"/>
          <w:sz w:val="26"/>
          <w:szCs w:val="26"/>
        </w:rPr>
      </w:pPr>
      <w:r>
        <w:rPr>
          <w:rFonts w:ascii="宋体" w:hAnsi="宋体" w:eastAsia="宋体" w:cs="宋体"/>
          <w:color w:val="404040"/>
          <w:sz w:val="26"/>
          <w:szCs w:val="26"/>
        </w:rPr>
        <w:t>在采购报名、采购调研等采购过程中有任何异议，可联系我院监督科室。电话：83660063-8407；83660063-8467。</w:t>
      </w:r>
    </w:p>
    <w:p w14:paraId="1128F58D">
      <w:pPr>
        <w:adjustRightInd/>
        <w:snapToGrid/>
        <w:spacing w:after="0"/>
        <w:rPr>
          <w:rFonts w:hint="eastAsia" w:ascii="宋体" w:hAnsi="宋体" w:eastAsia="宋体" w:cs="宋体"/>
          <w:color w:val="404040"/>
          <w:sz w:val="26"/>
          <w:szCs w:val="26"/>
          <w:lang w:val="en-US" w:eastAsia="zh-CN"/>
        </w:rPr>
      </w:pPr>
      <w:r>
        <w:rPr>
          <w:rFonts w:hint="eastAsia" w:ascii="宋体" w:hAnsi="宋体" w:eastAsia="宋体" w:cs="宋体"/>
          <w:color w:val="404040"/>
          <w:sz w:val="26"/>
          <w:szCs w:val="26"/>
          <w:lang w:val="en-US" w:eastAsia="zh-CN"/>
        </w:rPr>
        <w:t xml:space="preserve">                                                 福建省肿瘤医院</w:t>
      </w:r>
    </w:p>
    <w:p w14:paraId="1BABC209">
      <w:pPr>
        <w:adjustRightInd/>
        <w:snapToGrid/>
        <w:spacing w:after="0"/>
        <w:jc w:val="right"/>
        <w:rPr>
          <w:rFonts w:hint="default" w:ascii="宋体" w:hAnsi="宋体" w:eastAsia="宋体" w:cs="宋体"/>
          <w:color w:val="404040"/>
          <w:sz w:val="26"/>
          <w:szCs w:val="26"/>
          <w:lang w:val="en-US" w:eastAsia="zh-CN"/>
        </w:rPr>
      </w:pPr>
      <w:r>
        <w:rPr>
          <w:rFonts w:hint="eastAsia" w:ascii="宋体" w:hAnsi="宋体" w:eastAsia="宋体" w:cs="宋体"/>
          <w:color w:val="404040"/>
          <w:sz w:val="26"/>
          <w:szCs w:val="26"/>
          <w:lang w:val="en-US" w:eastAsia="zh-CN"/>
        </w:rPr>
        <w:t>2025年11月19日</w:t>
      </w:r>
      <w:r>
        <w:rPr>
          <w:rFonts w:hint="eastAsia" w:ascii="宋体" w:hAnsi="宋体" w:eastAsia="宋体" w:cs="宋体"/>
          <w:color w:val="404040"/>
          <w:sz w:val="26"/>
          <w:szCs w:val="26"/>
        </w:rPr>
        <w:br w:type="page"/>
      </w:r>
      <w:r>
        <w:rPr>
          <w:rFonts w:hint="eastAsia" w:ascii="宋体" w:hAnsi="宋体" w:eastAsia="宋体" w:cs="宋体"/>
          <w:color w:val="404040"/>
          <w:sz w:val="26"/>
          <w:szCs w:val="26"/>
          <w:lang w:val="en-US" w:eastAsia="zh-CN"/>
        </w:rPr>
        <w:t xml:space="preserve">  </w:t>
      </w:r>
    </w:p>
    <w:p w14:paraId="3C0244C9">
      <w:pPr>
        <w:widowControl w:val="0"/>
        <w:adjustRightInd/>
        <w:snapToGrid/>
        <w:spacing w:after="0" w:line="590" w:lineRule="exact"/>
        <w:jc w:val="center"/>
        <w:rPr>
          <w:rFonts w:ascii="宋体" w:hAnsi="宋体" w:eastAsia="宋体" w:cs="宋体"/>
          <w:color w:val="404040"/>
          <w:sz w:val="26"/>
          <w:szCs w:val="26"/>
        </w:rPr>
      </w:pPr>
      <w:r>
        <w:rPr>
          <w:rFonts w:ascii="宋体" w:hAnsi="宋体" w:eastAsia="宋体" w:cs="宋体"/>
          <w:color w:val="404040"/>
          <w:sz w:val="26"/>
          <w:szCs w:val="26"/>
        </w:rPr>
        <w:t>报价内容一览</w:t>
      </w:r>
    </w:p>
    <w:tbl>
      <w:tblPr>
        <w:tblStyle w:val="22"/>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1"/>
        <w:gridCol w:w="1438"/>
        <w:gridCol w:w="1082"/>
        <w:gridCol w:w="1436"/>
        <w:gridCol w:w="1500"/>
      </w:tblGrid>
      <w:tr w14:paraId="16F47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21" w:type="dxa"/>
            <w:shd w:val="clear" w:color="FFFFFF" w:fill="auto"/>
            <w:vAlign w:val="center"/>
          </w:tcPr>
          <w:p w14:paraId="35867A24">
            <w:pPr>
              <w:widowControl w:val="0"/>
              <w:adjustRightInd/>
              <w:snapToGrid/>
              <w:spacing w:after="0" w:line="340" w:lineRule="exact"/>
              <w:jc w:val="center"/>
              <w:rPr>
                <w:rFonts w:ascii="宋体" w:hAnsi="宋体" w:eastAsia="宋体" w:cs="宋体"/>
                <w:color w:val="404040"/>
                <w:sz w:val="26"/>
                <w:szCs w:val="26"/>
              </w:rPr>
            </w:pPr>
            <w:r>
              <w:rPr>
                <w:rFonts w:ascii="宋体" w:hAnsi="宋体" w:eastAsia="宋体" w:cs="宋体"/>
                <w:color w:val="404040"/>
                <w:sz w:val="26"/>
                <w:szCs w:val="26"/>
              </w:rPr>
              <w:t>项目名称</w:t>
            </w:r>
          </w:p>
        </w:tc>
        <w:tc>
          <w:tcPr>
            <w:tcW w:w="1438" w:type="dxa"/>
            <w:shd w:val="clear" w:color="FFFFFF" w:fill="auto"/>
            <w:vAlign w:val="center"/>
          </w:tcPr>
          <w:p w14:paraId="2B88500F">
            <w:pPr>
              <w:widowControl w:val="0"/>
              <w:adjustRightInd/>
              <w:snapToGrid/>
              <w:spacing w:after="0" w:line="340" w:lineRule="exact"/>
              <w:jc w:val="center"/>
              <w:rPr>
                <w:rFonts w:ascii="宋体" w:hAnsi="宋体" w:eastAsia="宋体" w:cs="宋体"/>
                <w:color w:val="404040"/>
                <w:sz w:val="26"/>
                <w:szCs w:val="26"/>
              </w:rPr>
            </w:pPr>
            <w:r>
              <w:rPr>
                <w:rFonts w:ascii="宋体" w:hAnsi="宋体" w:eastAsia="宋体" w:cs="宋体"/>
                <w:color w:val="404040"/>
                <w:sz w:val="26"/>
                <w:szCs w:val="26"/>
              </w:rPr>
              <w:t>招标方式</w:t>
            </w:r>
          </w:p>
        </w:tc>
        <w:tc>
          <w:tcPr>
            <w:tcW w:w="1082" w:type="dxa"/>
            <w:shd w:val="clear" w:color="FFFFFF" w:fill="auto"/>
            <w:vAlign w:val="center"/>
          </w:tcPr>
          <w:p w14:paraId="17F27C88">
            <w:pPr>
              <w:widowControl w:val="0"/>
              <w:adjustRightInd/>
              <w:snapToGrid/>
              <w:spacing w:after="0" w:line="340" w:lineRule="exact"/>
              <w:jc w:val="center"/>
              <w:rPr>
                <w:rFonts w:ascii="宋体" w:hAnsi="宋体" w:eastAsia="宋体" w:cs="宋体"/>
                <w:color w:val="404040"/>
                <w:sz w:val="26"/>
                <w:szCs w:val="26"/>
              </w:rPr>
            </w:pPr>
            <w:r>
              <w:rPr>
                <w:rFonts w:ascii="宋体" w:hAnsi="宋体" w:eastAsia="宋体" w:cs="宋体"/>
                <w:color w:val="404040"/>
                <w:sz w:val="26"/>
                <w:szCs w:val="26"/>
              </w:rPr>
              <w:t>控制价</w:t>
            </w:r>
          </w:p>
        </w:tc>
        <w:tc>
          <w:tcPr>
            <w:tcW w:w="1436" w:type="dxa"/>
            <w:shd w:val="clear" w:color="FFFFFF" w:fill="auto"/>
            <w:vAlign w:val="center"/>
          </w:tcPr>
          <w:p w14:paraId="12E7CD77">
            <w:pPr>
              <w:widowControl w:val="0"/>
              <w:adjustRightInd/>
              <w:snapToGrid/>
              <w:spacing w:after="0" w:line="340" w:lineRule="exact"/>
              <w:jc w:val="center"/>
              <w:rPr>
                <w:rFonts w:ascii="宋体" w:hAnsi="宋体" w:eastAsia="宋体" w:cs="宋体"/>
                <w:color w:val="404040"/>
                <w:sz w:val="26"/>
                <w:szCs w:val="26"/>
              </w:rPr>
            </w:pPr>
            <w:r>
              <w:rPr>
                <w:rFonts w:ascii="宋体" w:hAnsi="宋体" w:eastAsia="宋体" w:cs="宋体"/>
                <w:color w:val="404040"/>
                <w:sz w:val="26"/>
                <w:szCs w:val="26"/>
              </w:rPr>
              <w:t>数量</w:t>
            </w:r>
          </w:p>
        </w:tc>
        <w:tc>
          <w:tcPr>
            <w:tcW w:w="1500" w:type="dxa"/>
            <w:shd w:val="clear" w:color="FFFFFF" w:fill="auto"/>
            <w:vAlign w:val="center"/>
          </w:tcPr>
          <w:p w14:paraId="1692F9E0">
            <w:pPr>
              <w:widowControl w:val="0"/>
              <w:adjustRightInd/>
              <w:snapToGrid/>
              <w:spacing w:after="0" w:line="340" w:lineRule="exact"/>
              <w:jc w:val="center"/>
              <w:rPr>
                <w:rFonts w:ascii="宋体" w:hAnsi="宋体" w:eastAsia="宋体" w:cs="宋体"/>
                <w:color w:val="404040"/>
                <w:sz w:val="26"/>
                <w:szCs w:val="26"/>
              </w:rPr>
            </w:pPr>
            <w:r>
              <w:rPr>
                <w:rFonts w:ascii="宋体" w:hAnsi="宋体" w:eastAsia="宋体" w:cs="宋体"/>
                <w:color w:val="404040"/>
                <w:sz w:val="26"/>
                <w:szCs w:val="26"/>
              </w:rPr>
              <w:t>要求</w:t>
            </w:r>
          </w:p>
        </w:tc>
      </w:tr>
      <w:tr w14:paraId="0B2F9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6" w:hRule="atLeast"/>
          <w:jc w:val="center"/>
        </w:trPr>
        <w:tc>
          <w:tcPr>
            <w:tcW w:w="2821" w:type="dxa"/>
            <w:vAlign w:val="center"/>
          </w:tcPr>
          <w:p w14:paraId="5A860833">
            <w:pPr>
              <w:spacing w:line="340" w:lineRule="exact"/>
              <w:jc w:val="center"/>
              <w:rPr>
                <w:rFonts w:ascii="宋体" w:hAnsi="宋体" w:eastAsia="宋体" w:cs="宋体"/>
                <w:color w:val="404040"/>
                <w:sz w:val="32"/>
                <w:szCs w:val="32"/>
                <w:highlight w:val="none"/>
              </w:rPr>
            </w:pPr>
            <w:r>
              <w:rPr>
                <w:rFonts w:hint="eastAsia" w:ascii="宋体" w:hAnsi="宋体" w:eastAsia="宋体" w:cs="宋体"/>
                <w:color w:val="404040"/>
                <w:sz w:val="26"/>
                <w:szCs w:val="26"/>
                <w:highlight w:val="none"/>
              </w:rPr>
              <w:t>福建省肿瘤医院外科楼BA系统维护项目</w:t>
            </w:r>
          </w:p>
        </w:tc>
        <w:tc>
          <w:tcPr>
            <w:tcW w:w="1438" w:type="dxa"/>
            <w:vAlign w:val="center"/>
          </w:tcPr>
          <w:p w14:paraId="2766D0BE">
            <w:pPr>
              <w:spacing w:line="340" w:lineRule="exact"/>
              <w:rPr>
                <w:rFonts w:hint="default" w:ascii="宋体" w:hAnsi="宋体" w:eastAsia="宋体" w:cs="宋体"/>
                <w:i/>
                <w:iCs/>
                <w:color w:val="404040"/>
                <w:sz w:val="26"/>
                <w:szCs w:val="26"/>
                <w:highlight w:val="none"/>
                <w:lang w:val="en-US" w:eastAsia="zh-CN"/>
              </w:rPr>
            </w:pPr>
            <w:r>
              <w:rPr>
                <w:rFonts w:hint="eastAsia" w:ascii="宋体" w:hAnsi="宋体" w:eastAsia="宋体" w:cs="宋体"/>
                <w:color w:val="404040"/>
                <w:sz w:val="26"/>
                <w:szCs w:val="26"/>
                <w:lang w:val="en-US" w:eastAsia="zh-CN"/>
              </w:rPr>
              <w:t>综合评分</w:t>
            </w:r>
          </w:p>
        </w:tc>
        <w:tc>
          <w:tcPr>
            <w:tcW w:w="1082" w:type="dxa"/>
            <w:vAlign w:val="center"/>
          </w:tcPr>
          <w:p w14:paraId="493DD51D">
            <w:pPr>
              <w:spacing w:line="340" w:lineRule="exact"/>
              <w:jc w:val="center"/>
              <w:rPr>
                <w:rFonts w:ascii="宋体" w:hAnsi="宋体" w:eastAsia="宋体" w:cs="宋体"/>
                <w:color w:val="404040"/>
                <w:sz w:val="26"/>
                <w:szCs w:val="26"/>
              </w:rPr>
            </w:pPr>
            <w:r>
              <w:rPr>
                <w:rFonts w:hint="eastAsia" w:ascii="宋体" w:hAnsi="宋体" w:eastAsia="宋体" w:cs="宋体"/>
                <w:color w:val="404040"/>
                <w:sz w:val="26"/>
                <w:szCs w:val="26"/>
                <w:lang w:val="en-US" w:eastAsia="zh-CN"/>
              </w:rPr>
              <w:t>26</w:t>
            </w:r>
            <w:r>
              <w:rPr>
                <w:rFonts w:ascii="宋体" w:hAnsi="宋体" w:eastAsia="宋体" w:cs="宋体"/>
                <w:color w:val="404040"/>
                <w:sz w:val="26"/>
                <w:szCs w:val="26"/>
              </w:rPr>
              <w:t>万</w:t>
            </w:r>
          </w:p>
        </w:tc>
        <w:tc>
          <w:tcPr>
            <w:tcW w:w="1436" w:type="dxa"/>
            <w:vAlign w:val="center"/>
          </w:tcPr>
          <w:p w14:paraId="35EAC62B">
            <w:pPr>
              <w:spacing w:line="340" w:lineRule="exact"/>
              <w:rPr>
                <w:rFonts w:ascii="宋体" w:hAnsi="宋体" w:eastAsia="宋体" w:cs="宋体"/>
                <w:color w:val="404040"/>
                <w:sz w:val="26"/>
                <w:szCs w:val="26"/>
              </w:rPr>
            </w:pPr>
            <w:r>
              <w:rPr>
                <w:rFonts w:hint="eastAsia" w:ascii="宋体" w:hAnsi="宋体" w:eastAsia="宋体" w:cs="宋体"/>
                <w:color w:val="404040"/>
                <w:sz w:val="26"/>
                <w:szCs w:val="26"/>
              </w:rPr>
              <w:t>详见附件</w:t>
            </w:r>
          </w:p>
        </w:tc>
        <w:tc>
          <w:tcPr>
            <w:tcW w:w="1500" w:type="dxa"/>
            <w:vAlign w:val="center"/>
          </w:tcPr>
          <w:p w14:paraId="2F65E349">
            <w:pPr>
              <w:spacing w:line="340" w:lineRule="exact"/>
              <w:jc w:val="center"/>
              <w:rPr>
                <w:rFonts w:ascii="宋体" w:hAnsi="宋体" w:eastAsia="宋体" w:cs="宋体"/>
                <w:color w:val="404040"/>
                <w:sz w:val="26"/>
                <w:szCs w:val="26"/>
              </w:rPr>
            </w:pPr>
            <w:r>
              <w:rPr>
                <w:rFonts w:ascii="宋体" w:hAnsi="宋体" w:eastAsia="宋体" w:cs="宋体"/>
                <w:color w:val="404040"/>
                <w:sz w:val="26"/>
                <w:szCs w:val="26"/>
              </w:rPr>
              <w:t>详见附件</w:t>
            </w:r>
          </w:p>
        </w:tc>
      </w:tr>
    </w:tbl>
    <w:p w14:paraId="2B80BAEA">
      <w:pPr>
        <w:pStyle w:val="17"/>
        <w:rPr>
          <w:rFonts w:ascii="宋体" w:hAnsi="宋体" w:eastAsia="宋体" w:cs="宋体"/>
          <w:color w:val="404040"/>
          <w:sz w:val="26"/>
          <w:szCs w:val="26"/>
        </w:rPr>
      </w:pPr>
      <w:r>
        <w:rPr>
          <w:rFonts w:ascii="宋体" w:hAnsi="宋体" w:eastAsia="宋体" w:cs="宋体"/>
          <w:color w:val="404040"/>
          <w:sz w:val="26"/>
          <w:szCs w:val="26"/>
        </w:rPr>
        <w:t>备注：</w:t>
      </w:r>
      <w:r>
        <w:rPr>
          <w:rFonts w:hint="eastAsia" w:ascii="宋体" w:hAnsi="宋体" w:eastAsia="宋体" w:cs="宋体"/>
          <w:color w:val="404040"/>
          <w:sz w:val="26"/>
          <w:szCs w:val="26"/>
        </w:rPr>
        <w:t>1、</w:t>
      </w:r>
      <w:r>
        <w:rPr>
          <w:rFonts w:ascii="宋体" w:hAnsi="宋体" w:eastAsia="宋体" w:cs="宋体"/>
          <w:color w:val="404040"/>
          <w:sz w:val="26"/>
          <w:szCs w:val="26"/>
        </w:rPr>
        <w:t>如双方对招标内容产生歧义，最终解释权归采购人。</w:t>
      </w:r>
    </w:p>
    <w:p w14:paraId="359E5A7C">
      <w:pPr>
        <w:adjustRightInd/>
        <w:snapToGrid/>
        <w:spacing w:before="150" w:after="0" w:line="480" w:lineRule="atLeast"/>
        <w:ind w:firstLine="480"/>
        <w:jc w:val="both"/>
        <w:rPr>
          <w:rFonts w:ascii="宋体" w:hAnsi="宋体" w:eastAsia="宋体" w:cs="宋体"/>
          <w:color w:val="404040"/>
          <w:sz w:val="26"/>
          <w:szCs w:val="26"/>
        </w:rPr>
      </w:pPr>
    </w:p>
    <w:p w14:paraId="14F4E949">
      <w:pPr>
        <w:pStyle w:val="17"/>
        <w:rPr>
          <w:rFonts w:ascii="宋体" w:hAnsi="宋体" w:cs="仿宋_GB2312"/>
          <w:b/>
          <w:sz w:val="24"/>
          <w:szCs w:val="24"/>
        </w:rPr>
      </w:pPr>
    </w:p>
    <w:p w14:paraId="50949931">
      <w:pPr>
        <w:pStyle w:val="17"/>
        <w:rPr>
          <w:rFonts w:ascii="宋体" w:hAnsi="宋体" w:cs="仿宋_GB2312"/>
          <w:b/>
          <w:sz w:val="24"/>
          <w:szCs w:val="24"/>
        </w:rPr>
      </w:pPr>
    </w:p>
    <w:p w14:paraId="36A5F017">
      <w:pPr>
        <w:pStyle w:val="17"/>
        <w:rPr>
          <w:rFonts w:ascii="宋体" w:hAnsi="宋体" w:cs="仿宋_GB2312"/>
          <w:b/>
          <w:sz w:val="24"/>
          <w:szCs w:val="24"/>
        </w:rPr>
      </w:pPr>
    </w:p>
    <w:p w14:paraId="01316DC9">
      <w:pPr>
        <w:pStyle w:val="17"/>
        <w:rPr>
          <w:rFonts w:ascii="宋体" w:hAnsi="宋体" w:cs="仿宋_GB2312"/>
          <w:b/>
          <w:sz w:val="24"/>
          <w:szCs w:val="24"/>
        </w:rPr>
      </w:pPr>
    </w:p>
    <w:p w14:paraId="2ADC3AB8">
      <w:pPr>
        <w:pStyle w:val="17"/>
        <w:rPr>
          <w:rFonts w:ascii="宋体" w:hAnsi="宋体" w:cs="仿宋_GB2312"/>
          <w:b/>
          <w:sz w:val="24"/>
          <w:szCs w:val="24"/>
        </w:rPr>
      </w:pPr>
    </w:p>
    <w:p w14:paraId="4953DA7D">
      <w:pPr>
        <w:pStyle w:val="17"/>
        <w:rPr>
          <w:rFonts w:ascii="宋体" w:hAnsi="宋体" w:cs="仿宋_GB2312"/>
          <w:b/>
          <w:sz w:val="24"/>
          <w:szCs w:val="24"/>
        </w:rPr>
      </w:pPr>
    </w:p>
    <w:p w14:paraId="78574E82">
      <w:pPr>
        <w:pStyle w:val="17"/>
        <w:rPr>
          <w:rFonts w:ascii="宋体" w:hAnsi="宋体" w:cs="仿宋_GB2312"/>
          <w:b/>
          <w:sz w:val="24"/>
          <w:szCs w:val="24"/>
        </w:rPr>
      </w:pPr>
    </w:p>
    <w:p w14:paraId="1FD0D3B1">
      <w:pPr>
        <w:pStyle w:val="17"/>
        <w:rPr>
          <w:rFonts w:ascii="宋体" w:hAnsi="宋体" w:cs="仿宋_GB2312"/>
          <w:b/>
          <w:sz w:val="24"/>
          <w:szCs w:val="24"/>
        </w:rPr>
      </w:pPr>
    </w:p>
    <w:p w14:paraId="04FD9E99">
      <w:pPr>
        <w:pStyle w:val="17"/>
        <w:rPr>
          <w:rFonts w:ascii="宋体" w:hAnsi="宋体" w:cs="仿宋_GB2312"/>
          <w:b/>
          <w:sz w:val="24"/>
          <w:szCs w:val="24"/>
        </w:rPr>
      </w:pPr>
    </w:p>
    <w:p w14:paraId="6057A0BB">
      <w:pPr>
        <w:pStyle w:val="17"/>
        <w:rPr>
          <w:rFonts w:ascii="宋体" w:hAnsi="宋体" w:cs="仿宋_GB2312"/>
          <w:b/>
          <w:sz w:val="24"/>
          <w:szCs w:val="24"/>
        </w:rPr>
      </w:pPr>
    </w:p>
    <w:p w14:paraId="05DFC2F9">
      <w:pPr>
        <w:pStyle w:val="17"/>
        <w:rPr>
          <w:rFonts w:ascii="宋体" w:hAnsi="宋体" w:cs="仿宋_GB2312"/>
          <w:b/>
          <w:sz w:val="24"/>
          <w:szCs w:val="24"/>
        </w:rPr>
      </w:pPr>
    </w:p>
    <w:p w14:paraId="3BEDE44B">
      <w:pPr>
        <w:pStyle w:val="17"/>
        <w:rPr>
          <w:rFonts w:ascii="宋体" w:hAnsi="宋体" w:cs="仿宋_GB2312"/>
          <w:b/>
          <w:sz w:val="24"/>
          <w:szCs w:val="24"/>
        </w:rPr>
      </w:pPr>
    </w:p>
    <w:p w14:paraId="7687C7ED">
      <w:pPr>
        <w:pStyle w:val="17"/>
        <w:rPr>
          <w:rFonts w:ascii="宋体" w:hAnsi="宋体" w:cs="仿宋_GB2312"/>
          <w:b/>
          <w:sz w:val="24"/>
          <w:szCs w:val="24"/>
        </w:rPr>
      </w:pPr>
    </w:p>
    <w:p w14:paraId="2381DD30">
      <w:pPr>
        <w:pStyle w:val="47"/>
        <w:rPr>
          <w:rFonts w:hint="default" w:ascii="宋体" w:hAnsi="宋体" w:cs="宋体"/>
          <w:b/>
          <w:sz w:val="36"/>
          <w:szCs w:val="36"/>
        </w:rPr>
      </w:pPr>
      <w:r>
        <w:rPr>
          <w:rFonts w:ascii="宋体" w:hAnsi="宋体" w:cs="宋体"/>
          <w:b/>
          <w:sz w:val="36"/>
          <w:szCs w:val="36"/>
        </w:rPr>
        <w:t>附件：</w:t>
      </w:r>
    </w:p>
    <w:p w14:paraId="20ED7F04">
      <w:pPr>
        <w:pStyle w:val="47"/>
        <w:widowControl w:val="0"/>
        <w:jc w:val="both"/>
        <w:rPr>
          <w:rFonts w:hint="default" w:ascii="宋体" w:hAnsi="宋体" w:cs="宋体"/>
          <w:b/>
          <w:bCs/>
          <w:color w:val="000000"/>
          <w:sz w:val="28"/>
          <w:szCs w:val="28"/>
          <w:lang w:val="en-US" w:eastAsia="zh-CN"/>
        </w:rPr>
      </w:pPr>
      <w:r>
        <w:rPr>
          <w:rFonts w:hint="eastAsia" w:ascii="宋体" w:hAnsi="宋体" w:cs="宋体"/>
          <w:b/>
          <w:bCs/>
          <w:color w:val="000000"/>
          <w:sz w:val="28"/>
          <w:szCs w:val="28"/>
          <w:lang w:val="en-US" w:eastAsia="zh-CN"/>
        </w:rPr>
        <w:t>一、采购需求：</w:t>
      </w:r>
    </w:p>
    <w:p w14:paraId="179CA1E9">
      <w:pPr>
        <w:pStyle w:val="47"/>
        <w:widowControl w:val="0"/>
        <w:numPr>
          <w:ilvl w:val="0"/>
          <w:numId w:val="0"/>
        </w:numPr>
        <w:snapToGrid w:val="0"/>
        <w:ind w:firstLine="480" w:firstLineChars="200"/>
        <w:jc w:val="left"/>
        <w:rPr>
          <w:rFonts w:hint="eastAsia" w:ascii="宋体" w:hAnsi="宋体" w:cs="宋体"/>
          <w:b/>
          <w:bCs/>
          <w:color w:val="000000"/>
          <w:sz w:val="28"/>
          <w:szCs w:val="28"/>
          <w:lang w:val="en-US" w:eastAsia="zh-CN"/>
        </w:rPr>
      </w:pPr>
      <w:r>
        <w:rPr>
          <w:rFonts w:hint="eastAsia"/>
          <w:sz w:val="24"/>
          <w:lang w:val="en-US" w:eastAsia="zh-CN"/>
        </w:rPr>
        <w:t>本项目对福建肿瘤医院的BA系统进行全面检修和升级，包括设备及软件恢复更新、成套自控控制箱更换、现场传感器及执行机构更换以及升级网络搭建等工作，以确保系统稳定运行，满足医院的日常使用需求。</w:t>
      </w:r>
    </w:p>
    <w:p w14:paraId="43930CFB">
      <w:pPr>
        <w:pStyle w:val="47"/>
        <w:widowControl w:val="0"/>
        <w:numPr>
          <w:ilvl w:val="0"/>
          <w:numId w:val="0"/>
        </w:numPr>
        <w:jc w:val="both"/>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二、技术服务要求（</w:t>
      </w:r>
      <w:r>
        <w:rPr>
          <w:rFonts w:ascii="仿宋_GB2312" w:hAnsi="仿宋_GB2312" w:eastAsia="仿宋_GB2312" w:cs="仿宋_GB2312"/>
          <w:b/>
          <w:sz w:val="28"/>
        </w:rPr>
        <w:t>以“★”标示的内容为不允许负偏离的实质性要求</w:t>
      </w:r>
      <w:r>
        <w:rPr>
          <w:rFonts w:hint="eastAsia" w:ascii="宋体" w:hAnsi="宋体" w:cs="宋体"/>
          <w:b/>
          <w:bCs/>
          <w:color w:val="000000"/>
          <w:sz w:val="28"/>
          <w:szCs w:val="28"/>
          <w:lang w:val="en-US" w:eastAsia="zh-CN"/>
        </w:rPr>
        <w:t>）</w:t>
      </w:r>
    </w:p>
    <w:p w14:paraId="6C54EF12">
      <w:pPr>
        <w:pStyle w:val="47"/>
        <w:widowControl w:val="0"/>
        <w:jc w:val="left"/>
        <w:rPr>
          <w:rFonts w:hint="eastAsia" w:ascii="宋体" w:hAnsi="宋体" w:cs="宋体"/>
          <w:b w:val="0"/>
          <w:bCs w:val="0"/>
          <w:color w:val="000000"/>
          <w:sz w:val="24"/>
          <w:szCs w:val="24"/>
          <w:lang w:val="en-US" w:eastAsia="zh-CN"/>
        </w:rPr>
      </w:pPr>
      <w:r>
        <w:rPr>
          <w:rFonts w:hint="eastAsia" w:eastAsia="宋体" w:cs="Times New Roman"/>
          <w:sz w:val="24"/>
        </w:rPr>
        <w:t>★</w:t>
      </w:r>
      <w:r>
        <w:rPr>
          <w:rFonts w:hint="eastAsia" w:eastAsia="宋体" w:cs="Times New Roman"/>
          <w:sz w:val="24"/>
          <w:lang w:val="en-US" w:eastAsia="zh-CN"/>
        </w:rPr>
        <w:t>1、供应商维护BA系统完成后</w:t>
      </w:r>
      <w:r>
        <w:rPr>
          <w:rFonts w:hint="eastAsia" w:cs="Times New Roman"/>
          <w:sz w:val="24"/>
          <w:lang w:val="en-US" w:eastAsia="zh-CN"/>
        </w:rPr>
        <w:t>，</w:t>
      </w:r>
      <w:r>
        <w:rPr>
          <w:rFonts w:hint="eastAsia" w:eastAsia="宋体" w:cs="Times New Roman"/>
          <w:sz w:val="24"/>
          <w:lang w:val="en-US" w:eastAsia="zh-CN"/>
        </w:rPr>
        <w:t>需要完全恢复其原有功能。</w:t>
      </w:r>
      <w:r>
        <w:rPr>
          <w:rFonts w:hint="eastAsia" w:ascii="宋体" w:hAnsi="宋体" w:cs="宋体"/>
          <w:b w:val="0"/>
          <w:bCs w:val="0"/>
          <w:color w:val="000000"/>
          <w:sz w:val="24"/>
          <w:szCs w:val="24"/>
          <w:lang w:val="en-US" w:eastAsia="zh-CN"/>
        </w:rPr>
        <w:t>本院现有BA系统采用Honeywell公司开发的WEBs系统，该系统可对以下系统实行设备运行管理，并根据设定参数进行控制，以达到管理便捷，节约能源及提高管理效率的目的。其各子系统控制内容如下：</w:t>
      </w:r>
    </w:p>
    <w:p w14:paraId="3B00DB15">
      <w:pPr>
        <w:pStyle w:val="47"/>
        <w:widowControl w:val="0"/>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1.1、可监控部分</w:t>
      </w:r>
    </w:p>
    <w:p w14:paraId="60C3F2AD">
      <w:pPr>
        <w:pStyle w:val="47"/>
        <w:widowControl w:val="0"/>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（1）新风机组系统：</w:t>
      </w:r>
    </w:p>
    <w:p w14:paraId="05F84728">
      <w:pPr>
        <w:pStyle w:val="47"/>
        <w:widowControl w:val="0"/>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BA系统对新风机的各水阀、电机状态、过滤网进行监控，自动调节冷/热水阀维持送风温度（可供用户设定）恒定，有效的控制冷/热源的使用，从而达到节能的目的。</w:t>
      </w:r>
    </w:p>
    <w:p w14:paraId="4C5311E3">
      <w:pPr>
        <w:pStyle w:val="47"/>
        <w:widowControl w:val="0"/>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（2）照明系统：</w:t>
      </w:r>
    </w:p>
    <w:p w14:paraId="387555E5">
      <w:pPr>
        <w:pStyle w:val="47"/>
        <w:widowControl w:val="0"/>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BA对照明系统的监测及控制包括：设备启停、设备运行、手自动切换状态等。</w:t>
      </w:r>
    </w:p>
    <w:p w14:paraId="0233A565">
      <w:pPr>
        <w:pStyle w:val="47"/>
        <w:widowControl w:val="0"/>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1.2、只监不控部分</w:t>
      </w:r>
    </w:p>
    <w:p w14:paraId="6102F371">
      <w:pPr>
        <w:pStyle w:val="47"/>
        <w:widowControl w:val="0"/>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（1）给排水系统：包括水泵、集水坑及潜水排污泵。</w:t>
      </w:r>
    </w:p>
    <w:p w14:paraId="2931FCC2">
      <w:pPr>
        <w:pStyle w:val="47"/>
        <w:widowControl w:val="0"/>
        <w:jc w:val="left"/>
        <w:rPr>
          <w:rFonts w:hint="eastAsia" w:eastAsia="宋体" w:cs="Times New Roman"/>
          <w:sz w:val="24"/>
          <w:lang w:val="en-US" w:eastAsia="zh-CN"/>
        </w:rPr>
      </w:pPr>
      <w:r>
        <w:rPr>
          <w:rFonts w:hint="eastAsia" w:ascii="宋体" w:hAnsi="宋体" w:cs="宋体"/>
          <w:b w:val="0"/>
          <w:bCs w:val="0"/>
          <w:color w:val="000000"/>
          <w:sz w:val="24"/>
          <w:szCs w:val="24"/>
          <w:lang w:val="en-US" w:eastAsia="zh-CN"/>
        </w:rPr>
        <w:t>（2）地下车库气体检测系统：一氧化碳气体探测器监测地下室CO的浓度。</w:t>
      </w:r>
    </w:p>
    <w:p w14:paraId="27101591">
      <w:pPr>
        <w:pStyle w:val="47"/>
        <w:widowControl w:val="0"/>
        <w:jc w:val="left"/>
        <w:rPr>
          <w:rFonts w:hint="eastAsia" w:eastAsia="宋体" w:cs="Times New Roman"/>
          <w:sz w:val="24"/>
          <w:lang w:val="en-US" w:eastAsia="zh-CN"/>
        </w:rPr>
      </w:pPr>
      <w:r>
        <w:rPr>
          <w:rFonts w:hint="eastAsia" w:eastAsia="宋体" w:cs="Times New Roman"/>
          <w:sz w:val="24"/>
        </w:rPr>
        <w:t>★</w:t>
      </w:r>
      <w:r>
        <w:rPr>
          <w:rFonts w:hint="eastAsia" w:cs="Times New Roman"/>
          <w:sz w:val="24"/>
          <w:szCs w:val="20"/>
          <w:lang w:val="en-US" w:eastAsia="zh-CN"/>
        </w:rPr>
        <w:t>2、</w:t>
      </w:r>
      <w:r>
        <w:rPr>
          <w:rFonts w:hint="eastAsia" w:eastAsia="宋体" w:cs="Times New Roman"/>
          <w:sz w:val="24"/>
          <w:lang w:val="en-US" w:eastAsia="zh-CN"/>
        </w:rPr>
        <w:t>供应商须</w:t>
      </w:r>
      <w:r>
        <w:rPr>
          <w:rFonts w:hint="eastAsia" w:cs="Times New Roman"/>
          <w:sz w:val="24"/>
          <w:lang w:val="en-US" w:eastAsia="zh-CN"/>
        </w:rPr>
        <w:t>根据</w:t>
      </w:r>
      <w:r>
        <w:rPr>
          <w:rFonts w:hint="eastAsia" w:cs="Times New Roman"/>
          <w:sz w:val="24"/>
          <w:szCs w:val="20"/>
          <w:lang w:val="en-US" w:eastAsia="zh-CN"/>
        </w:rPr>
        <w:t>采购</w:t>
      </w:r>
      <w:r>
        <w:rPr>
          <w:rFonts w:hint="eastAsia" w:eastAsia="宋体" w:cs="Times New Roman"/>
          <w:sz w:val="24"/>
          <w:szCs w:val="20"/>
          <w:lang w:val="en-US" w:eastAsia="zh-CN"/>
        </w:rPr>
        <w:t>清单</w:t>
      </w:r>
      <w:r>
        <w:rPr>
          <w:rFonts w:hint="eastAsia" w:cs="Times New Roman"/>
          <w:sz w:val="24"/>
          <w:lang w:val="en-US" w:eastAsia="zh-CN"/>
        </w:rPr>
        <w:t>提供货物和服务，</w:t>
      </w:r>
      <w:r>
        <w:rPr>
          <w:rFonts w:hint="eastAsia" w:cs="Times New Roman"/>
          <w:sz w:val="24"/>
          <w:szCs w:val="20"/>
          <w:lang w:val="en-US" w:eastAsia="zh-CN"/>
        </w:rPr>
        <w:t>采购</w:t>
      </w:r>
      <w:r>
        <w:rPr>
          <w:rFonts w:hint="eastAsia" w:eastAsia="宋体" w:cs="Times New Roman"/>
          <w:sz w:val="24"/>
          <w:szCs w:val="20"/>
          <w:lang w:val="en-US" w:eastAsia="zh-CN"/>
        </w:rPr>
        <w:t>清单</w:t>
      </w:r>
      <w:r>
        <w:rPr>
          <w:rFonts w:hint="eastAsia" w:cs="Times New Roman"/>
          <w:sz w:val="24"/>
          <w:szCs w:val="20"/>
          <w:lang w:val="en-US" w:eastAsia="zh-CN"/>
        </w:rPr>
        <w:t>见下表：</w:t>
      </w:r>
    </w:p>
    <w:tbl>
      <w:tblPr>
        <w:tblStyle w:val="23"/>
        <w:tblW w:w="8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1785"/>
        <w:gridCol w:w="2520"/>
        <w:gridCol w:w="1020"/>
        <w:gridCol w:w="1080"/>
        <w:gridCol w:w="2397"/>
      </w:tblGrid>
      <w:tr w14:paraId="1B6C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1785" w:type="dxa"/>
            <w:vAlign w:val="center"/>
          </w:tcPr>
          <w:p w14:paraId="64EA9D1F">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序号</w:t>
            </w:r>
          </w:p>
        </w:tc>
        <w:tc>
          <w:tcPr>
            <w:tcW w:w="2520" w:type="dxa"/>
            <w:vAlign w:val="center"/>
          </w:tcPr>
          <w:p w14:paraId="06417DC2">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项目名称</w:t>
            </w:r>
          </w:p>
        </w:tc>
        <w:tc>
          <w:tcPr>
            <w:tcW w:w="1020" w:type="dxa"/>
            <w:vAlign w:val="center"/>
          </w:tcPr>
          <w:p w14:paraId="06B9BEC3">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单位</w:t>
            </w:r>
          </w:p>
        </w:tc>
        <w:tc>
          <w:tcPr>
            <w:tcW w:w="1080" w:type="dxa"/>
            <w:vAlign w:val="center"/>
          </w:tcPr>
          <w:p w14:paraId="4D49EF79">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数量</w:t>
            </w:r>
          </w:p>
        </w:tc>
        <w:tc>
          <w:tcPr>
            <w:tcW w:w="2397" w:type="dxa"/>
            <w:vAlign w:val="center"/>
          </w:tcPr>
          <w:p w14:paraId="7B72855F">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备注</w:t>
            </w:r>
          </w:p>
        </w:tc>
      </w:tr>
      <w:tr w14:paraId="490B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71CF1A57">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一</w:t>
            </w:r>
          </w:p>
        </w:tc>
        <w:tc>
          <w:tcPr>
            <w:tcW w:w="2520" w:type="dxa"/>
            <w:vAlign w:val="center"/>
          </w:tcPr>
          <w:p w14:paraId="6479D3A6">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设备及软件恢复更新</w:t>
            </w:r>
          </w:p>
        </w:tc>
        <w:tc>
          <w:tcPr>
            <w:tcW w:w="1020" w:type="dxa"/>
            <w:vAlign w:val="center"/>
          </w:tcPr>
          <w:p w14:paraId="1E90BD42">
            <w:pPr>
              <w:snapToGrid w:val="0"/>
              <w:jc w:val="center"/>
              <w:rPr>
                <w:rFonts w:hint="eastAsia" w:ascii="宋体" w:hAnsi="宋体" w:eastAsia="宋体" w:cs="宋体"/>
                <w:b/>
                <w:bCs/>
                <w:color w:val="000000"/>
                <w:sz w:val="28"/>
                <w:szCs w:val="24"/>
                <w:vertAlign w:val="baseline"/>
                <w:lang w:val="en-US" w:eastAsia="zh-CN"/>
              </w:rPr>
            </w:pPr>
          </w:p>
        </w:tc>
        <w:tc>
          <w:tcPr>
            <w:tcW w:w="1080" w:type="dxa"/>
            <w:vAlign w:val="center"/>
          </w:tcPr>
          <w:p w14:paraId="57CF97C4">
            <w:pPr>
              <w:snapToGrid w:val="0"/>
              <w:jc w:val="center"/>
              <w:rPr>
                <w:rFonts w:hint="eastAsia" w:ascii="宋体" w:hAnsi="宋体" w:eastAsia="宋体" w:cs="宋体"/>
                <w:b/>
                <w:bCs/>
                <w:color w:val="000000"/>
                <w:sz w:val="28"/>
                <w:szCs w:val="24"/>
                <w:vertAlign w:val="baseline"/>
                <w:lang w:val="en-US" w:eastAsia="zh-CN"/>
              </w:rPr>
            </w:pPr>
          </w:p>
        </w:tc>
        <w:tc>
          <w:tcPr>
            <w:tcW w:w="2397" w:type="dxa"/>
            <w:vAlign w:val="center"/>
          </w:tcPr>
          <w:p w14:paraId="0EEE0A1E">
            <w:pPr>
              <w:snapToGrid w:val="0"/>
              <w:jc w:val="left"/>
              <w:rPr>
                <w:rFonts w:hint="eastAsia" w:ascii="宋体" w:hAnsi="宋体" w:eastAsia="宋体" w:cs="宋体"/>
                <w:b/>
                <w:bCs/>
                <w:color w:val="000000"/>
                <w:sz w:val="28"/>
                <w:szCs w:val="24"/>
                <w:vertAlign w:val="baseline"/>
                <w:lang w:val="en-US" w:eastAsia="zh-CN"/>
              </w:rPr>
            </w:pPr>
          </w:p>
        </w:tc>
      </w:tr>
      <w:tr w14:paraId="4D0D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73EE8F6C">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w:t>
            </w:r>
          </w:p>
        </w:tc>
        <w:tc>
          <w:tcPr>
            <w:tcW w:w="2520" w:type="dxa"/>
            <w:vAlign w:val="center"/>
          </w:tcPr>
          <w:p w14:paraId="1F2F9750">
            <w:pPr>
              <w:pStyle w:val="47"/>
              <w:widowControl w:val="0"/>
              <w:numPr>
                <w:ilvl w:val="0"/>
                <w:numId w:val="0"/>
              </w:numPr>
              <w:snapToGrid w:val="0"/>
              <w:ind w:leftChars="0"/>
              <w:jc w:val="center"/>
              <w:rPr>
                <w:rFonts w:hint="default" w:ascii="宋体" w:hAnsi="宋体" w:eastAsia="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系统管理主机</w:t>
            </w:r>
          </w:p>
        </w:tc>
        <w:tc>
          <w:tcPr>
            <w:tcW w:w="1020" w:type="dxa"/>
            <w:vAlign w:val="center"/>
          </w:tcPr>
          <w:p w14:paraId="65F31CCE">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台</w:t>
            </w:r>
          </w:p>
        </w:tc>
        <w:tc>
          <w:tcPr>
            <w:tcW w:w="1080" w:type="dxa"/>
            <w:vAlign w:val="center"/>
          </w:tcPr>
          <w:p w14:paraId="7501588A">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w:t>
            </w:r>
          </w:p>
        </w:tc>
        <w:tc>
          <w:tcPr>
            <w:tcW w:w="2397" w:type="dxa"/>
            <w:vAlign w:val="center"/>
          </w:tcPr>
          <w:p w14:paraId="56EB0ABB">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升级</w:t>
            </w:r>
            <w:r>
              <w:rPr>
                <w:rFonts w:hint="eastAsia" w:ascii="宋体" w:hAnsi="宋体" w:cs="宋体"/>
                <w:b w:val="0"/>
                <w:bCs w:val="0"/>
                <w:color w:val="000000"/>
                <w:sz w:val="24"/>
                <w:szCs w:val="24"/>
                <w:lang w:val="en-US" w:eastAsia="zh-CN"/>
              </w:rPr>
              <w:t>系统</w:t>
            </w:r>
            <w:r>
              <w:rPr>
                <w:rFonts w:hint="eastAsia" w:ascii="宋体" w:hAnsi="宋体" w:eastAsia="宋体" w:cs="宋体"/>
                <w:b w:val="0"/>
                <w:bCs w:val="0"/>
                <w:color w:val="000000"/>
                <w:sz w:val="24"/>
                <w:szCs w:val="24"/>
                <w:lang w:val="en-US" w:eastAsia="zh-CN"/>
              </w:rPr>
              <w:t>管理</w:t>
            </w:r>
            <w:r>
              <w:rPr>
                <w:rFonts w:hint="eastAsia" w:ascii="宋体" w:hAnsi="宋体" w:cs="宋体"/>
                <w:b w:val="0"/>
                <w:bCs w:val="0"/>
                <w:color w:val="000000"/>
                <w:sz w:val="24"/>
                <w:szCs w:val="24"/>
                <w:lang w:val="en-US" w:eastAsia="zh-CN"/>
              </w:rPr>
              <w:t>主机</w:t>
            </w:r>
          </w:p>
        </w:tc>
      </w:tr>
      <w:tr w14:paraId="51F4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778F7AF1">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w:t>
            </w:r>
          </w:p>
        </w:tc>
        <w:tc>
          <w:tcPr>
            <w:tcW w:w="2520" w:type="dxa"/>
            <w:vAlign w:val="center"/>
          </w:tcPr>
          <w:p w14:paraId="462FCDEF">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建筑设备监控系统软件</w:t>
            </w:r>
          </w:p>
        </w:tc>
        <w:tc>
          <w:tcPr>
            <w:tcW w:w="1020" w:type="dxa"/>
            <w:vAlign w:val="center"/>
          </w:tcPr>
          <w:p w14:paraId="46240629">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3BC3A4E9">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w:t>
            </w:r>
          </w:p>
        </w:tc>
        <w:tc>
          <w:tcPr>
            <w:tcW w:w="2397" w:type="dxa"/>
            <w:vAlign w:val="center"/>
          </w:tcPr>
          <w:p w14:paraId="72C0A357">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恢复更新建筑设备监控系统软件</w:t>
            </w:r>
            <w:r>
              <w:rPr>
                <w:rFonts w:hint="eastAsia" w:ascii="宋体" w:hAnsi="宋体" w:cs="宋体"/>
                <w:b w:val="0"/>
                <w:bCs w:val="0"/>
                <w:color w:val="000000"/>
                <w:sz w:val="24"/>
                <w:szCs w:val="24"/>
                <w:lang w:val="en-US" w:eastAsia="zh-CN"/>
              </w:rPr>
              <w:t>，</w:t>
            </w:r>
            <w:r>
              <w:rPr>
                <w:rFonts w:hint="eastAsia" w:ascii="宋体" w:hAnsi="宋体" w:eastAsia="宋体" w:cs="宋体"/>
                <w:b w:val="0"/>
                <w:bCs w:val="0"/>
                <w:color w:val="000000"/>
                <w:sz w:val="24"/>
                <w:szCs w:val="24"/>
                <w:lang w:val="en-US" w:eastAsia="zh-CN"/>
              </w:rPr>
              <w:t>更新最新软件版本，要求兼容第三方系统接入。</w:t>
            </w:r>
          </w:p>
        </w:tc>
      </w:tr>
      <w:tr w14:paraId="7FA7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26BCFB06">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w:t>
            </w:r>
          </w:p>
        </w:tc>
        <w:tc>
          <w:tcPr>
            <w:tcW w:w="2520" w:type="dxa"/>
            <w:vAlign w:val="center"/>
          </w:tcPr>
          <w:p w14:paraId="2F19EFB2">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device授权</w:t>
            </w:r>
          </w:p>
        </w:tc>
        <w:tc>
          <w:tcPr>
            <w:tcW w:w="1020" w:type="dxa"/>
            <w:vAlign w:val="center"/>
          </w:tcPr>
          <w:p w14:paraId="318E3BBC">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3C055993">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w:t>
            </w:r>
          </w:p>
        </w:tc>
        <w:tc>
          <w:tcPr>
            <w:tcW w:w="2397" w:type="dxa"/>
            <w:vAlign w:val="center"/>
          </w:tcPr>
          <w:p w14:paraId="47B32F63">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恢复device授权</w:t>
            </w:r>
            <w:r>
              <w:rPr>
                <w:rFonts w:hint="eastAsia" w:ascii="宋体" w:hAnsi="宋体" w:cs="宋体"/>
                <w:b w:val="0"/>
                <w:bCs w:val="0"/>
                <w:color w:val="000000"/>
                <w:sz w:val="24"/>
                <w:szCs w:val="24"/>
                <w:lang w:val="en-US" w:eastAsia="zh-CN"/>
              </w:rPr>
              <w:t>，</w:t>
            </w:r>
            <w:r>
              <w:rPr>
                <w:rFonts w:hint="eastAsia" w:ascii="宋体" w:hAnsi="宋体" w:eastAsia="宋体" w:cs="宋体"/>
                <w:b w:val="0"/>
                <w:bCs w:val="0"/>
                <w:color w:val="000000"/>
                <w:sz w:val="24"/>
                <w:szCs w:val="24"/>
                <w:lang w:val="en-US" w:eastAsia="zh-CN"/>
              </w:rPr>
              <w:t>不低于100device授权使用</w:t>
            </w:r>
          </w:p>
        </w:tc>
      </w:tr>
      <w:tr w14:paraId="751A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6CAFD5D9">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w:t>
            </w:r>
          </w:p>
        </w:tc>
        <w:tc>
          <w:tcPr>
            <w:tcW w:w="2520" w:type="dxa"/>
            <w:vAlign w:val="center"/>
          </w:tcPr>
          <w:p w14:paraId="0D5F90C0">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系统接口二次开发</w:t>
            </w:r>
          </w:p>
        </w:tc>
        <w:tc>
          <w:tcPr>
            <w:tcW w:w="1020" w:type="dxa"/>
            <w:vAlign w:val="center"/>
          </w:tcPr>
          <w:p w14:paraId="47FAF494">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437EFD6C">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w:t>
            </w:r>
          </w:p>
        </w:tc>
        <w:tc>
          <w:tcPr>
            <w:tcW w:w="2397" w:type="dxa"/>
            <w:vAlign w:val="center"/>
          </w:tcPr>
          <w:p w14:paraId="2108D6FF">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针对现有系统完成系统接口二次开发，恢复系统数据连接。</w:t>
            </w:r>
          </w:p>
        </w:tc>
      </w:tr>
      <w:tr w14:paraId="34AC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3E107247">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w:t>
            </w:r>
          </w:p>
        </w:tc>
        <w:tc>
          <w:tcPr>
            <w:tcW w:w="2520" w:type="dxa"/>
            <w:vAlign w:val="center"/>
          </w:tcPr>
          <w:p w14:paraId="7217E8E7">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智能网关</w:t>
            </w:r>
          </w:p>
        </w:tc>
        <w:tc>
          <w:tcPr>
            <w:tcW w:w="1020" w:type="dxa"/>
            <w:vAlign w:val="center"/>
          </w:tcPr>
          <w:p w14:paraId="2D3D3C1A">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2C445FB7">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w:t>
            </w:r>
          </w:p>
        </w:tc>
        <w:tc>
          <w:tcPr>
            <w:tcW w:w="2397" w:type="dxa"/>
            <w:vAlign w:val="center"/>
          </w:tcPr>
          <w:p w14:paraId="544B99B0">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补充智能网关</w:t>
            </w:r>
          </w:p>
        </w:tc>
      </w:tr>
      <w:tr w14:paraId="429F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1318C5F4">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w:t>
            </w:r>
          </w:p>
        </w:tc>
        <w:tc>
          <w:tcPr>
            <w:tcW w:w="2520" w:type="dxa"/>
            <w:vAlign w:val="center"/>
          </w:tcPr>
          <w:p w14:paraId="748D674E">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图库界面更新制作</w:t>
            </w:r>
          </w:p>
        </w:tc>
        <w:tc>
          <w:tcPr>
            <w:tcW w:w="1020" w:type="dxa"/>
            <w:vAlign w:val="center"/>
          </w:tcPr>
          <w:p w14:paraId="4AD61CE3">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0ECEABB1">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w:t>
            </w:r>
          </w:p>
        </w:tc>
        <w:tc>
          <w:tcPr>
            <w:tcW w:w="2397" w:type="dxa"/>
            <w:vAlign w:val="center"/>
          </w:tcPr>
          <w:p w14:paraId="20555888">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p>
        </w:tc>
      </w:tr>
      <w:tr w14:paraId="72FA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1525E757">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二</w:t>
            </w:r>
          </w:p>
        </w:tc>
        <w:tc>
          <w:tcPr>
            <w:tcW w:w="2520" w:type="dxa"/>
            <w:vAlign w:val="center"/>
          </w:tcPr>
          <w:p w14:paraId="3260C4B0">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成套自控控制箱更换</w:t>
            </w:r>
          </w:p>
        </w:tc>
        <w:tc>
          <w:tcPr>
            <w:tcW w:w="1020" w:type="dxa"/>
            <w:vAlign w:val="center"/>
          </w:tcPr>
          <w:p w14:paraId="3C06B489">
            <w:pPr>
              <w:snapToGrid w:val="0"/>
              <w:jc w:val="center"/>
              <w:rPr>
                <w:rFonts w:hint="eastAsia" w:ascii="宋体" w:hAnsi="宋体" w:eastAsia="宋体" w:cs="宋体"/>
                <w:b/>
                <w:bCs/>
                <w:color w:val="000000"/>
                <w:sz w:val="24"/>
                <w:szCs w:val="22"/>
                <w:vertAlign w:val="baseline"/>
                <w:lang w:val="en-US" w:eastAsia="zh-CN"/>
              </w:rPr>
            </w:pPr>
          </w:p>
        </w:tc>
        <w:tc>
          <w:tcPr>
            <w:tcW w:w="1080" w:type="dxa"/>
            <w:vAlign w:val="center"/>
          </w:tcPr>
          <w:p w14:paraId="058D35A8">
            <w:pPr>
              <w:snapToGrid w:val="0"/>
              <w:jc w:val="center"/>
              <w:rPr>
                <w:rFonts w:hint="eastAsia" w:ascii="宋体" w:hAnsi="宋体" w:eastAsia="宋体" w:cs="宋体"/>
                <w:b/>
                <w:bCs/>
                <w:color w:val="000000"/>
                <w:sz w:val="24"/>
                <w:szCs w:val="22"/>
                <w:vertAlign w:val="baseline"/>
                <w:lang w:val="en-US" w:eastAsia="zh-CN"/>
              </w:rPr>
            </w:pPr>
          </w:p>
        </w:tc>
        <w:tc>
          <w:tcPr>
            <w:tcW w:w="2397" w:type="dxa"/>
            <w:vAlign w:val="center"/>
          </w:tcPr>
          <w:p w14:paraId="04928EE3">
            <w:pPr>
              <w:snapToGrid w:val="0"/>
              <w:jc w:val="left"/>
              <w:rPr>
                <w:rFonts w:hint="eastAsia" w:ascii="宋体" w:hAnsi="宋体" w:eastAsia="宋体" w:cs="宋体"/>
                <w:b/>
                <w:bCs/>
                <w:color w:val="000000"/>
                <w:sz w:val="24"/>
                <w:szCs w:val="22"/>
                <w:vertAlign w:val="baseline"/>
                <w:lang w:val="en-US" w:eastAsia="zh-CN"/>
              </w:rPr>
            </w:pPr>
          </w:p>
        </w:tc>
      </w:tr>
      <w:tr w14:paraId="6DB9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754ADCD7">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w:t>
            </w:r>
          </w:p>
        </w:tc>
        <w:tc>
          <w:tcPr>
            <w:tcW w:w="2520" w:type="dxa"/>
            <w:vAlign w:val="center"/>
          </w:tcPr>
          <w:p w14:paraId="4E311A49">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成套控制箱</w:t>
            </w:r>
          </w:p>
        </w:tc>
        <w:tc>
          <w:tcPr>
            <w:tcW w:w="1020" w:type="dxa"/>
            <w:vAlign w:val="center"/>
          </w:tcPr>
          <w:p w14:paraId="08C4CCEB">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2C4E1067">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w:t>
            </w:r>
          </w:p>
        </w:tc>
        <w:tc>
          <w:tcPr>
            <w:tcW w:w="2397" w:type="dxa"/>
            <w:vAlign w:val="center"/>
          </w:tcPr>
          <w:p w14:paraId="4DBA9D2D">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含箱体、铭牌、电源开关、控制模块、电源指示灯、内部配件及各元器件的组装。按现有的总线数量来配置</w:t>
            </w:r>
          </w:p>
        </w:tc>
      </w:tr>
      <w:tr w14:paraId="6FB4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61C1EBA9">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三</w:t>
            </w:r>
          </w:p>
        </w:tc>
        <w:tc>
          <w:tcPr>
            <w:tcW w:w="2520" w:type="dxa"/>
            <w:vAlign w:val="center"/>
          </w:tcPr>
          <w:p w14:paraId="15BDAD5E">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现场传感器及执行机构更换</w:t>
            </w:r>
          </w:p>
        </w:tc>
        <w:tc>
          <w:tcPr>
            <w:tcW w:w="1020" w:type="dxa"/>
            <w:vAlign w:val="center"/>
          </w:tcPr>
          <w:p w14:paraId="09B7CDC5">
            <w:pPr>
              <w:snapToGrid w:val="0"/>
              <w:jc w:val="center"/>
              <w:rPr>
                <w:rFonts w:hint="eastAsia" w:ascii="宋体" w:hAnsi="宋体" w:eastAsia="宋体" w:cs="宋体"/>
                <w:b/>
                <w:bCs/>
                <w:color w:val="000000"/>
                <w:sz w:val="24"/>
                <w:szCs w:val="22"/>
                <w:vertAlign w:val="baseline"/>
                <w:lang w:val="en-US" w:eastAsia="zh-CN"/>
              </w:rPr>
            </w:pPr>
          </w:p>
        </w:tc>
        <w:tc>
          <w:tcPr>
            <w:tcW w:w="1080" w:type="dxa"/>
            <w:vAlign w:val="center"/>
          </w:tcPr>
          <w:p w14:paraId="5D4DE34F">
            <w:pPr>
              <w:snapToGrid w:val="0"/>
              <w:jc w:val="center"/>
              <w:rPr>
                <w:rFonts w:hint="eastAsia" w:ascii="宋体" w:hAnsi="宋体" w:eastAsia="宋体" w:cs="宋体"/>
                <w:b/>
                <w:bCs/>
                <w:color w:val="000000"/>
                <w:sz w:val="24"/>
                <w:szCs w:val="22"/>
                <w:vertAlign w:val="baseline"/>
                <w:lang w:val="en-US" w:eastAsia="zh-CN"/>
              </w:rPr>
            </w:pPr>
          </w:p>
        </w:tc>
        <w:tc>
          <w:tcPr>
            <w:tcW w:w="2397" w:type="dxa"/>
            <w:vAlign w:val="center"/>
          </w:tcPr>
          <w:p w14:paraId="5A34E9B5">
            <w:pPr>
              <w:snapToGrid w:val="0"/>
              <w:jc w:val="left"/>
              <w:rPr>
                <w:rFonts w:hint="eastAsia" w:ascii="宋体" w:hAnsi="宋体" w:eastAsia="宋体" w:cs="宋体"/>
                <w:b/>
                <w:bCs/>
                <w:color w:val="000000"/>
                <w:sz w:val="24"/>
                <w:szCs w:val="22"/>
                <w:vertAlign w:val="baseline"/>
                <w:lang w:val="en-US" w:eastAsia="zh-CN"/>
              </w:rPr>
            </w:pPr>
          </w:p>
        </w:tc>
      </w:tr>
      <w:tr w14:paraId="2603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2A8F360F">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w:t>
            </w:r>
          </w:p>
        </w:tc>
        <w:tc>
          <w:tcPr>
            <w:tcW w:w="2520" w:type="dxa"/>
            <w:vAlign w:val="center"/>
          </w:tcPr>
          <w:p w14:paraId="5F49A7B5">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风管式温度传感器</w:t>
            </w:r>
          </w:p>
        </w:tc>
        <w:tc>
          <w:tcPr>
            <w:tcW w:w="1020" w:type="dxa"/>
            <w:vAlign w:val="center"/>
          </w:tcPr>
          <w:p w14:paraId="775BFB1F">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5C7C7ABF">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w:t>
            </w:r>
          </w:p>
        </w:tc>
        <w:tc>
          <w:tcPr>
            <w:tcW w:w="2397" w:type="dxa"/>
            <w:shd w:val="clear" w:color="auto" w:fill="auto"/>
            <w:vAlign w:val="center"/>
          </w:tcPr>
          <w:p w14:paraId="74D30FCC">
            <w:pPr>
              <w:pStyle w:val="47"/>
              <w:widowControl w:val="0"/>
              <w:numPr>
                <w:ilvl w:val="0"/>
                <w:numId w:val="0"/>
              </w:numPr>
              <w:snapToGrid w:val="0"/>
              <w:ind w:left="0" w:leftChars="0" w:firstLine="0" w:firstLineChars="0"/>
              <w:jc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sz w:val="24"/>
                <w:szCs w:val="24"/>
                <w:lang w:val="en-US" w:eastAsia="zh-CN"/>
              </w:rPr>
              <w:t>新风机房风管上</w:t>
            </w:r>
          </w:p>
        </w:tc>
      </w:tr>
      <w:tr w14:paraId="5D6E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04B3B88D">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w:t>
            </w:r>
          </w:p>
        </w:tc>
        <w:tc>
          <w:tcPr>
            <w:tcW w:w="2520" w:type="dxa"/>
            <w:vAlign w:val="center"/>
          </w:tcPr>
          <w:p w14:paraId="0AB3DDAB">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二氧化碳传感器</w:t>
            </w:r>
          </w:p>
        </w:tc>
        <w:tc>
          <w:tcPr>
            <w:tcW w:w="1020" w:type="dxa"/>
            <w:vAlign w:val="center"/>
          </w:tcPr>
          <w:p w14:paraId="62867B2F">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5B8F1713">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w:t>
            </w:r>
          </w:p>
        </w:tc>
        <w:tc>
          <w:tcPr>
            <w:tcW w:w="2397" w:type="dxa"/>
            <w:shd w:val="clear" w:color="auto" w:fill="auto"/>
            <w:vAlign w:val="center"/>
          </w:tcPr>
          <w:p w14:paraId="27994E6E">
            <w:pPr>
              <w:pStyle w:val="47"/>
              <w:widowControl w:val="0"/>
              <w:numPr>
                <w:ilvl w:val="0"/>
                <w:numId w:val="0"/>
              </w:numPr>
              <w:snapToGrid w:val="0"/>
              <w:ind w:left="0" w:leftChars="0" w:firstLine="0" w:firstLineChars="0"/>
              <w:jc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sz w:val="24"/>
                <w:szCs w:val="24"/>
                <w:lang w:val="en-US" w:eastAsia="zh-CN"/>
              </w:rPr>
              <w:t>空调机房回风管</w:t>
            </w:r>
          </w:p>
        </w:tc>
      </w:tr>
      <w:tr w14:paraId="5E7A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7F6C1855">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w:t>
            </w:r>
          </w:p>
        </w:tc>
        <w:tc>
          <w:tcPr>
            <w:tcW w:w="2520" w:type="dxa"/>
            <w:vAlign w:val="center"/>
          </w:tcPr>
          <w:p w14:paraId="0922014F">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压差开关传感器</w:t>
            </w:r>
          </w:p>
        </w:tc>
        <w:tc>
          <w:tcPr>
            <w:tcW w:w="1020" w:type="dxa"/>
            <w:vAlign w:val="center"/>
          </w:tcPr>
          <w:p w14:paraId="69473BB0">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68835EBC">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20</w:t>
            </w:r>
          </w:p>
        </w:tc>
        <w:tc>
          <w:tcPr>
            <w:tcW w:w="2397" w:type="dxa"/>
            <w:shd w:val="clear" w:color="auto" w:fill="auto"/>
            <w:vAlign w:val="center"/>
          </w:tcPr>
          <w:p w14:paraId="60D555D7">
            <w:pPr>
              <w:pStyle w:val="47"/>
              <w:widowControl w:val="0"/>
              <w:numPr>
                <w:ilvl w:val="0"/>
                <w:numId w:val="0"/>
              </w:numPr>
              <w:snapToGrid w:val="0"/>
              <w:ind w:left="0" w:leftChars="0" w:firstLine="0" w:firstLineChars="0"/>
              <w:jc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sz w:val="24"/>
                <w:szCs w:val="24"/>
                <w:lang w:val="en-US" w:eastAsia="zh-CN"/>
              </w:rPr>
              <w:t>新风机、空调机、排风机</w:t>
            </w:r>
          </w:p>
        </w:tc>
      </w:tr>
      <w:tr w14:paraId="788E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0E16AAEE">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4</w:t>
            </w:r>
          </w:p>
        </w:tc>
        <w:tc>
          <w:tcPr>
            <w:tcW w:w="2520" w:type="dxa"/>
            <w:vAlign w:val="center"/>
          </w:tcPr>
          <w:p w14:paraId="3EA4F26C">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水流开关传感器</w:t>
            </w:r>
          </w:p>
        </w:tc>
        <w:tc>
          <w:tcPr>
            <w:tcW w:w="1020" w:type="dxa"/>
            <w:vAlign w:val="center"/>
          </w:tcPr>
          <w:p w14:paraId="0B6315B0">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20D8EF6A">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w:t>
            </w:r>
          </w:p>
        </w:tc>
        <w:tc>
          <w:tcPr>
            <w:tcW w:w="2397" w:type="dxa"/>
            <w:shd w:val="clear" w:color="auto" w:fill="auto"/>
            <w:vAlign w:val="center"/>
          </w:tcPr>
          <w:p w14:paraId="0F95308A">
            <w:pPr>
              <w:pStyle w:val="47"/>
              <w:widowControl w:val="0"/>
              <w:numPr>
                <w:ilvl w:val="0"/>
                <w:numId w:val="0"/>
              </w:numPr>
              <w:snapToGrid w:val="0"/>
              <w:ind w:left="0" w:leftChars="0" w:firstLine="0" w:firstLineChars="0"/>
              <w:jc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sz w:val="24"/>
                <w:szCs w:val="24"/>
                <w:lang w:val="en-US" w:eastAsia="zh-CN"/>
              </w:rPr>
              <w:t>屋面层、水泵房</w:t>
            </w:r>
          </w:p>
        </w:tc>
      </w:tr>
      <w:tr w14:paraId="61B3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203C8604">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5</w:t>
            </w:r>
          </w:p>
        </w:tc>
        <w:tc>
          <w:tcPr>
            <w:tcW w:w="2520" w:type="dxa"/>
            <w:vAlign w:val="center"/>
          </w:tcPr>
          <w:p w14:paraId="78F86FF3">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风门驱动器（开关型）</w:t>
            </w:r>
          </w:p>
        </w:tc>
        <w:tc>
          <w:tcPr>
            <w:tcW w:w="1020" w:type="dxa"/>
            <w:vAlign w:val="center"/>
          </w:tcPr>
          <w:p w14:paraId="108A70C1">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231535B4">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10</w:t>
            </w:r>
          </w:p>
        </w:tc>
        <w:tc>
          <w:tcPr>
            <w:tcW w:w="2397" w:type="dxa"/>
            <w:shd w:val="clear" w:color="auto" w:fill="auto"/>
            <w:vAlign w:val="center"/>
          </w:tcPr>
          <w:p w14:paraId="3F115F4A">
            <w:pPr>
              <w:pStyle w:val="47"/>
              <w:widowControl w:val="0"/>
              <w:numPr>
                <w:ilvl w:val="0"/>
                <w:numId w:val="0"/>
              </w:numPr>
              <w:snapToGrid w:val="0"/>
              <w:ind w:left="0" w:leftChars="0" w:firstLine="0" w:firstLineChars="0"/>
              <w:jc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sz w:val="24"/>
                <w:szCs w:val="24"/>
                <w:lang w:val="en-US" w:eastAsia="zh-CN"/>
              </w:rPr>
              <w:t>新风机房、风机风阀</w:t>
            </w:r>
          </w:p>
        </w:tc>
      </w:tr>
      <w:tr w14:paraId="5461A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5A28534E">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6</w:t>
            </w:r>
          </w:p>
        </w:tc>
        <w:tc>
          <w:tcPr>
            <w:tcW w:w="2520" w:type="dxa"/>
            <w:vAlign w:val="center"/>
          </w:tcPr>
          <w:p w14:paraId="11AAA5C2">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风门驱动器（调节型）</w:t>
            </w:r>
          </w:p>
        </w:tc>
        <w:tc>
          <w:tcPr>
            <w:tcW w:w="1020" w:type="dxa"/>
            <w:vAlign w:val="center"/>
          </w:tcPr>
          <w:p w14:paraId="252C10C7">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套</w:t>
            </w:r>
          </w:p>
        </w:tc>
        <w:tc>
          <w:tcPr>
            <w:tcW w:w="1080" w:type="dxa"/>
            <w:vAlign w:val="center"/>
          </w:tcPr>
          <w:p w14:paraId="62204AAC">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w:t>
            </w:r>
          </w:p>
        </w:tc>
        <w:tc>
          <w:tcPr>
            <w:tcW w:w="2397" w:type="dxa"/>
            <w:shd w:val="clear" w:color="auto" w:fill="auto"/>
            <w:vAlign w:val="center"/>
          </w:tcPr>
          <w:p w14:paraId="72F33518">
            <w:pPr>
              <w:pStyle w:val="47"/>
              <w:widowControl w:val="0"/>
              <w:numPr>
                <w:ilvl w:val="0"/>
                <w:numId w:val="0"/>
              </w:numPr>
              <w:snapToGrid w:val="0"/>
              <w:ind w:left="0" w:leftChars="0" w:firstLine="0" w:firstLineChars="0"/>
              <w:jc w:val="center"/>
              <w:rPr>
                <w:rFonts w:hint="eastAsia" w:ascii="宋体" w:hAnsi="宋体" w:eastAsia="宋体" w:cs="宋体"/>
                <w:b w:val="0"/>
                <w:bCs w:val="0"/>
                <w:color w:val="000000"/>
                <w:kern w:val="0"/>
                <w:sz w:val="24"/>
                <w:szCs w:val="24"/>
                <w:lang w:val="en-US" w:eastAsia="zh-CN" w:bidi="ar-SA"/>
              </w:rPr>
            </w:pPr>
            <w:r>
              <w:rPr>
                <w:rFonts w:hint="eastAsia" w:ascii="宋体" w:hAnsi="宋体" w:eastAsia="宋体" w:cs="宋体"/>
                <w:b w:val="0"/>
                <w:bCs w:val="0"/>
                <w:color w:val="000000"/>
                <w:sz w:val="24"/>
                <w:szCs w:val="24"/>
                <w:lang w:val="en-US" w:eastAsia="zh-CN"/>
              </w:rPr>
              <w:t>水泵房水阀</w:t>
            </w:r>
          </w:p>
        </w:tc>
      </w:tr>
      <w:tr w14:paraId="32D3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3CE8632B">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四</w:t>
            </w:r>
          </w:p>
        </w:tc>
        <w:tc>
          <w:tcPr>
            <w:tcW w:w="2520" w:type="dxa"/>
            <w:vAlign w:val="center"/>
          </w:tcPr>
          <w:p w14:paraId="1042C0FD">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升级网络搭建</w:t>
            </w:r>
          </w:p>
        </w:tc>
        <w:tc>
          <w:tcPr>
            <w:tcW w:w="1020" w:type="dxa"/>
            <w:vAlign w:val="center"/>
          </w:tcPr>
          <w:p w14:paraId="4E9C8EB4">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p>
        </w:tc>
        <w:tc>
          <w:tcPr>
            <w:tcW w:w="1080" w:type="dxa"/>
            <w:vAlign w:val="center"/>
          </w:tcPr>
          <w:p w14:paraId="2C89322D">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p>
        </w:tc>
        <w:tc>
          <w:tcPr>
            <w:tcW w:w="2397" w:type="dxa"/>
            <w:vAlign w:val="center"/>
          </w:tcPr>
          <w:p w14:paraId="5F332C50">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p>
        </w:tc>
      </w:tr>
      <w:tr w14:paraId="2817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78372176">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w:t>
            </w:r>
          </w:p>
        </w:tc>
        <w:tc>
          <w:tcPr>
            <w:tcW w:w="2520" w:type="dxa"/>
            <w:vAlign w:val="center"/>
          </w:tcPr>
          <w:p w14:paraId="009067F2">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工业交换机</w:t>
            </w:r>
          </w:p>
        </w:tc>
        <w:tc>
          <w:tcPr>
            <w:tcW w:w="1020" w:type="dxa"/>
            <w:vAlign w:val="center"/>
          </w:tcPr>
          <w:p w14:paraId="26E801D0">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台</w:t>
            </w:r>
          </w:p>
        </w:tc>
        <w:tc>
          <w:tcPr>
            <w:tcW w:w="1080" w:type="dxa"/>
            <w:vAlign w:val="center"/>
          </w:tcPr>
          <w:p w14:paraId="4D0FA5B3">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3</w:t>
            </w:r>
          </w:p>
        </w:tc>
        <w:tc>
          <w:tcPr>
            <w:tcW w:w="2397" w:type="dxa"/>
            <w:vAlign w:val="center"/>
          </w:tcPr>
          <w:p w14:paraId="2996801C">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p>
        </w:tc>
      </w:tr>
      <w:tr w14:paraId="6E98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3FEC31A9">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五</w:t>
            </w:r>
          </w:p>
        </w:tc>
        <w:tc>
          <w:tcPr>
            <w:tcW w:w="2520" w:type="dxa"/>
            <w:vAlign w:val="center"/>
          </w:tcPr>
          <w:p w14:paraId="2229387E">
            <w:pPr>
              <w:pStyle w:val="47"/>
              <w:widowControl w:val="0"/>
              <w:numPr>
                <w:ilvl w:val="0"/>
                <w:numId w:val="0"/>
              </w:numPr>
              <w:snapToGrid w:val="0"/>
              <w:ind w:leftChars="0"/>
              <w:jc w:val="center"/>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其它</w:t>
            </w:r>
          </w:p>
        </w:tc>
        <w:tc>
          <w:tcPr>
            <w:tcW w:w="1020" w:type="dxa"/>
            <w:vAlign w:val="center"/>
          </w:tcPr>
          <w:p w14:paraId="6116538D">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p>
        </w:tc>
        <w:tc>
          <w:tcPr>
            <w:tcW w:w="1080" w:type="dxa"/>
            <w:vAlign w:val="center"/>
          </w:tcPr>
          <w:p w14:paraId="5CF49FFD">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p>
        </w:tc>
        <w:tc>
          <w:tcPr>
            <w:tcW w:w="2397" w:type="dxa"/>
            <w:vAlign w:val="center"/>
          </w:tcPr>
          <w:p w14:paraId="18AF37B0">
            <w:pPr>
              <w:pStyle w:val="47"/>
              <w:widowControl w:val="0"/>
              <w:numPr>
                <w:ilvl w:val="0"/>
                <w:numId w:val="0"/>
              </w:numPr>
              <w:snapToGrid w:val="0"/>
              <w:ind w:leftChars="0"/>
              <w:jc w:val="center"/>
              <w:rPr>
                <w:rFonts w:hint="eastAsia" w:ascii="宋体" w:hAnsi="宋体" w:eastAsia="宋体" w:cs="宋体"/>
                <w:b w:val="0"/>
                <w:bCs w:val="0"/>
                <w:color w:val="000000"/>
                <w:sz w:val="24"/>
                <w:szCs w:val="24"/>
                <w:lang w:val="en-US" w:eastAsia="zh-CN"/>
              </w:rPr>
            </w:pPr>
          </w:p>
        </w:tc>
      </w:tr>
      <w:tr w14:paraId="69BD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51" w:hRule="atLeast"/>
          <w:jc w:val="center"/>
        </w:trPr>
        <w:tc>
          <w:tcPr>
            <w:tcW w:w="1785" w:type="dxa"/>
            <w:vAlign w:val="center"/>
          </w:tcPr>
          <w:p w14:paraId="2FFF6D06">
            <w:pPr>
              <w:pStyle w:val="47"/>
              <w:widowControl w:val="0"/>
              <w:numPr>
                <w:ilvl w:val="0"/>
                <w:numId w:val="0"/>
              </w:numPr>
              <w:snapToGrid w:val="0"/>
              <w:ind w:leftChars="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520" w:type="dxa"/>
            <w:vAlign w:val="center"/>
          </w:tcPr>
          <w:p w14:paraId="458B4C17">
            <w:pPr>
              <w:pStyle w:val="47"/>
              <w:widowControl w:val="0"/>
              <w:numPr>
                <w:ilvl w:val="0"/>
                <w:numId w:val="0"/>
              </w:numPr>
              <w:snapToGrid w:val="0"/>
              <w:ind w:leftChars="0"/>
              <w:jc w:val="center"/>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设备及系统的</w:t>
            </w:r>
            <w:r>
              <w:rPr>
                <w:rFonts w:hint="eastAsia" w:ascii="宋体" w:hAnsi="宋体" w:eastAsia="宋体" w:cs="宋体"/>
                <w:b w:val="0"/>
                <w:bCs w:val="0"/>
                <w:color w:val="auto"/>
                <w:sz w:val="24"/>
                <w:szCs w:val="24"/>
                <w:lang w:val="en-US" w:eastAsia="zh-CN"/>
              </w:rPr>
              <w:t>检修</w:t>
            </w:r>
          </w:p>
        </w:tc>
        <w:tc>
          <w:tcPr>
            <w:tcW w:w="1020" w:type="dxa"/>
            <w:vAlign w:val="center"/>
          </w:tcPr>
          <w:p w14:paraId="269EE867">
            <w:pPr>
              <w:pStyle w:val="47"/>
              <w:widowControl w:val="0"/>
              <w:numPr>
                <w:ilvl w:val="0"/>
                <w:numId w:val="0"/>
              </w:numPr>
              <w:snapToGrid w:val="0"/>
              <w:ind w:leftChars="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项</w:t>
            </w:r>
          </w:p>
        </w:tc>
        <w:tc>
          <w:tcPr>
            <w:tcW w:w="1080" w:type="dxa"/>
            <w:vAlign w:val="center"/>
          </w:tcPr>
          <w:p w14:paraId="54412903">
            <w:pPr>
              <w:pStyle w:val="47"/>
              <w:widowControl w:val="0"/>
              <w:numPr>
                <w:ilvl w:val="0"/>
                <w:numId w:val="0"/>
              </w:numPr>
              <w:snapToGrid w:val="0"/>
              <w:ind w:leftChars="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397" w:type="dxa"/>
            <w:vAlign w:val="center"/>
          </w:tcPr>
          <w:p w14:paraId="77B3672B">
            <w:pPr>
              <w:pStyle w:val="47"/>
              <w:widowControl w:val="0"/>
              <w:numPr>
                <w:ilvl w:val="0"/>
                <w:numId w:val="0"/>
              </w:numPr>
              <w:snapToGrid w:val="0"/>
              <w:ind w:leftChars="0"/>
              <w:jc w:val="center"/>
              <w:rPr>
                <w:rFonts w:hint="eastAsia" w:ascii="宋体" w:hAnsi="宋体" w:eastAsia="宋体" w:cs="宋体"/>
                <w:b w:val="0"/>
                <w:bCs w:val="0"/>
                <w:color w:val="auto"/>
                <w:sz w:val="24"/>
                <w:szCs w:val="24"/>
                <w:lang w:val="en-US" w:eastAsia="zh-CN"/>
              </w:rPr>
            </w:pPr>
          </w:p>
        </w:tc>
      </w:tr>
      <w:tr w14:paraId="390C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785" w:type="dxa"/>
            <w:vAlign w:val="center"/>
          </w:tcPr>
          <w:p w14:paraId="192B702B">
            <w:pPr>
              <w:pStyle w:val="47"/>
              <w:widowControl w:val="0"/>
              <w:numPr>
                <w:ilvl w:val="0"/>
                <w:numId w:val="0"/>
              </w:numPr>
              <w:snapToGrid w:val="0"/>
              <w:ind w:leftChars="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p>
        </w:tc>
        <w:tc>
          <w:tcPr>
            <w:tcW w:w="2520" w:type="dxa"/>
            <w:vAlign w:val="center"/>
          </w:tcPr>
          <w:p w14:paraId="43DAB5B4">
            <w:pPr>
              <w:pStyle w:val="47"/>
              <w:widowControl w:val="0"/>
              <w:numPr>
                <w:ilvl w:val="0"/>
                <w:numId w:val="0"/>
              </w:numPr>
              <w:snapToGrid w:val="0"/>
              <w:ind w:leftChars="0"/>
              <w:jc w:val="center"/>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系统整体</w:t>
            </w:r>
            <w:r>
              <w:rPr>
                <w:rFonts w:hint="eastAsia" w:ascii="宋体" w:hAnsi="宋体" w:eastAsia="宋体" w:cs="宋体"/>
                <w:b w:val="0"/>
                <w:bCs w:val="0"/>
                <w:color w:val="auto"/>
                <w:sz w:val="24"/>
                <w:szCs w:val="24"/>
                <w:lang w:val="en-US" w:eastAsia="zh-CN"/>
              </w:rPr>
              <w:t>调试</w:t>
            </w:r>
          </w:p>
        </w:tc>
        <w:tc>
          <w:tcPr>
            <w:tcW w:w="1020" w:type="dxa"/>
            <w:vAlign w:val="center"/>
          </w:tcPr>
          <w:p w14:paraId="1742F5AC">
            <w:pPr>
              <w:pStyle w:val="47"/>
              <w:widowControl w:val="0"/>
              <w:numPr>
                <w:ilvl w:val="0"/>
                <w:numId w:val="0"/>
              </w:numPr>
              <w:snapToGrid w:val="0"/>
              <w:ind w:leftChars="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项</w:t>
            </w:r>
          </w:p>
        </w:tc>
        <w:tc>
          <w:tcPr>
            <w:tcW w:w="1080" w:type="dxa"/>
            <w:vAlign w:val="center"/>
          </w:tcPr>
          <w:p w14:paraId="35B9008C">
            <w:pPr>
              <w:pStyle w:val="47"/>
              <w:widowControl w:val="0"/>
              <w:numPr>
                <w:ilvl w:val="0"/>
                <w:numId w:val="0"/>
              </w:numPr>
              <w:snapToGrid w:val="0"/>
              <w:ind w:leftChars="0"/>
              <w:jc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p>
        </w:tc>
        <w:tc>
          <w:tcPr>
            <w:tcW w:w="2397" w:type="dxa"/>
            <w:vAlign w:val="center"/>
          </w:tcPr>
          <w:p w14:paraId="154B5A35">
            <w:pPr>
              <w:pStyle w:val="47"/>
              <w:widowControl w:val="0"/>
              <w:numPr>
                <w:ilvl w:val="0"/>
                <w:numId w:val="0"/>
              </w:numPr>
              <w:snapToGrid w:val="0"/>
              <w:ind w:leftChars="0"/>
              <w:jc w:val="center"/>
              <w:rPr>
                <w:rFonts w:hint="eastAsia" w:ascii="宋体" w:hAnsi="宋体" w:eastAsia="宋体" w:cs="宋体"/>
                <w:b w:val="0"/>
                <w:bCs w:val="0"/>
                <w:color w:val="auto"/>
                <w:sz w:val="24"/>
                <w:szCs w:val="24"/>
                <w:lang w:val="en-US" w:eastAsia="zh-CN"/>
              </w:rPr>
            </w:pPr>
          </w:p>
        </w:tc>
      </w:tr>
    </w:tbl>
    <w:p w14:paraId="0BF4D122">
      <w:pPr>
        <w:pStyle w:val="47"/>
        <w:widowControl w:val="0"/>
        <w:jc w:val="both"/>
        <w:rPr>
          <w:rFonts w:hint="eastAsia" w:eastAsia="宋体" w:cs="Times New Roman"/>
          <w:color w:val="0000FF"/>
          <w:sz w:val="24"/>
          <w:lang w:val="en-US" w:eastAsia="zh-CN"/>
        </w:rPr>
      </w:pPr>
    </w:p>
    <w:p w14:paraId="54A59547">
      <w:pPr>
        <w:pStyle w:val="47"/>
        <w:widowControl w:val="0"/>
        <w:jc w:val="both"/>
        <w:rPr>
          <w:rFonts w:hint="eastAsia" w:eastAsia="宋体" w:cs="Times New Roman"/>
          <w:sz w:val="24"/>
        </w:rPr>
      </w:pPr>
      <w:r>
        <w:rPr>
          <w:rFonts w:hint="eastAsia" w:eastAsia="宋体" w:cs="Times New Roman"/>
          <w:sz w:val="24"/>
        </w:rPr>
        <w:t>★</w:t>
      </w:r>
      <w:r>
        <w:rPr>
          <w:rFonts w:hint="eastAsia" w:cs="Times New Roman"/>
          <w:sz w:val="24"/>
          <w:lang w:val="en-US" w:eastAsia="zh-CN"/>
        </w:rPr>
        <w:t>3</w:t>
      </w:r>
      <w:r>
        <w:rPr>
          <w:rFonts w:hint="eastAsia" w:eastAsia="宋体" w:cs="Times New Roman"/>
          <w:sz w:val="24"/>
          <w:lang w:val="en-US" w:eastAsia="zh-CN"/>
        </w:rPr>
        <w:t>、</w:t>
      </w:r>
      <w:r>
        <w:rPr>
          <w:rFonts w:hint="eastAsia" w:eastAsia="宋体" w:cs="Times New Roman"/>
          <w:sz w:val="24"/>
        </w:rPr>
        <w:t>供应商必须保证产品来源渠道合法、合规，能享受原厂或原厂授权的售后维修机构的售后服务并负责货物的运输、安装、调试和售后服务等工作。</w:t>
      </w:r>
    </w:p>
    <w:p w14:paraId="16178CBC">
      <w:pPr>
        <w:pStyle w:val="47"/>
        <w:widowControl w:val="0"/>
        <w:jc w:val="both"/>
        <w:rPr>
          <w:rFonts w:hint="eastAsia" w:ascii="宋体" w:hAnsi="宋体" w:cs="宋体" w:eastAsiaTheme="majorEastAsia"/>
          <w:b/>
          <w:bCs/>
          <w:color w:val="000000"/>
          <w:sz w:val="28"/>
          <w:szCs w:val="28"/>
          <w:lang w:val="en-US" w:eastAsia="zh-CN"/>
        </w:rPr>
      </w:pPr>
      <w:r>
        <w:rPr>
          <w:rFonts w:hint="eastAsia" w:eastAsia="宋体" w:cs="Times New Roman"/>
          <w:sz w:val="24"/>
        </w:rPr>
        <w:t>★</w:t>
      </w:r>
      <w:r>
        <w:rPr>
          <w:rFonts w:hint="eastAsia" w:cs="Times New Roman"/>
          <w:sz w:val="24"/>
          <w:lang w:val="en-US" w:eastAsia="zh-CN"/>
        </w:rPr>
        <w:t>4</w:t>
      </w:r>
      <w:r>
        <w:rPr>
          <w:rFonts w:hint="eastAsia" w:asciiTheme="majorEastAsia" w:hAnsiTheme="majorEastAsia" w:eastAsiaTheme="majorEastAsia" w:cstheme="majorEastAsia"/>
          <w:color w:val="auto"/>
          <w:sz w:val="24"/>
          <w:szCs w:val="24"/>
          <w:highlight w:val="none"/>
          <w:lang w:val="en-US" w:eastAsia="zh-CN"/>
        </w:rPr>
        <w:t>、</w:t>
      </w:r>
      <w:r>
        <w:rPr>
          <w:rFonts w:hint="eastAsia" w:asciiTheme="majorEastAsia" w:hAnsiTheme="majorEastAsia" w:eastAsiaTheme="majorEastAsia" w:cstheme="majorEastAsia"/>
          <w:color w:val="auto"/>
          <w:sz w:val="24"/>
          <w:szCs w:val="24"/>
          <w:highlight w:val="none"/>
        </w:rPr>
        <w:t>成交人必须保证在不影响医院的正常医疗工作秩序下</w:t>
      </w:r>
      <w:r>
        <w:rPr>
          <w:rFonts w:hint="eastAsia" w:asciiTheme="majorEastAsia" w:hAnsiTheme="majorEastAsia" w:eastAsiaTheme="majorEastAsia" w:cstheme="majorEastAsia"/>
          <w:color w:val="auto"/>
          <w:sz w:val="24"/>
          <w:szCs w:val="24"/>
          <w:highlight w:val="none"/>
          <w:lang w:val="en-US" w:eastAsia="zh-CN"/>
        </w:rPr>
        <w:t>进行维护。</w:t>
      </w:r>
    </w:p>
    <w:p w14:paraId="2039C117">
      <w:pPr>
        <w:pStyle w:val="47"/>
        <w:widowControl w:val="0"/>
        <w:jc w:val="both"/>
        <w:rPr>
          <w:rFonts w:hint="eastAsia" w:asciiTheme="majorEastAsia" w:hAnsiTheme="majorEastAsia" w:eastAsiaTheme="majorEastAsia" w:cstheme="majorEastAsia"/>
          <w:color w:val="auto"/>
          <w:sz w:val="24"/>
          <w:szCs w:val="24"/>
          <w:highlight w:val="none"/>
        </w:rPr>
      </w:pPr>
      <w:r>
        <w:rPr>
          <w:rFonts w:hint="eastAsia" w:eastAsia="宋体" w:cs="Times New Roman"/>
          <w:sz w:val="24"/>
        </w:rPr>
        <w:t>★</w:t>
      </w:r>
      <w:r>
        <w:rPr>
          <w:rFonts w:hint="eastAsia" w:cs="Times New Roman"/>
          <w:sz w:val="24"/>
          <w:lang w:val="en-US" w:eastAsia="zh-CN"/>
        </w:rPr>
        <w:t>5</w:t>
      </w:r>
      <w:r>
        <w:rPr>
          <w:rFonts w:hint="eastAsia" w:asciiTheme="majorEastAsia" w:hAnsiTheme="majorEastAsia" w:eastAsiaTheme="majorEastAsia" w:cstheme="majorEastAsia"/>
          <w:color w:val="auto"/>
          <w:sz w:val="24"/>
          <w:szCs w:val="24"/>
          <w:highlight w:val="none"/>
          <w:lang w:val="en-US" w:eastAsia="zh-CN"/>
        </w:rPr>
        <w:t>、</w:t>
      </w:r>
      <w:r>
        <w:rPr>
          <w:rFonts w:hint="eastAsia" w:asciiTheme="majorEastAsia" w:hAnsiTheme="majorEastAsia" w:eastAsiaTheme="majorEastAsia" w:cstheme="majorEastAsia"/>
          <w:color w:val="auto"/>
          <w:sz w:val="24"/>
          <w:szCs w:val="24"/>
          <w:highlight w:val="none"/>
        </w:rPr>
        <w:t>供应商响应文件中须提供专项承诺函，对以下内容进行承诺：所投产品为原厂原装品牌，采购人有权对成交人提供的货物进行随机抽检，由有资质的第三方进行检测，检测费用由成交人支出。如因成交方产品质量不合格导致采购人经济等损失，采购人有权拒绝支付合同款项，同时采购人有权追究所引起的法律责任和经济责任。（需提供书面承诺函,格式自拟，未提供按无效响应处理。）</w:t>
      </w:r>
    </w:p>
    <w:p w14:paraId="4F2F3AD2">
      <w:pPr>
        <w:pStyle w:val="47"/>
        <w:widowControl w:val="0"/>
        <w:jc w:val="both"/>
        <w:rPr>
          <w:rFonts w:hint="default"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6、升级后系统需要满足以下技术要求</w:t>
      </w:r>
    </w:p>
    <w:p w14:paraId="31ECBADA">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6.1、应支持多个Niagara Framework连接；</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rPr>
        <w:t>）</w:t>
      </w:r>
    </w:p>
    <w:p w14:paraId="7F7D1D43">
      <w:pPr>
        <w:pStyle w:val="47"/>
        <w:widowControl w:val="0"/>
        <w:jc w:val="both"/>
        <w:rPr>
          <w:rFonts w:hint="default"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6.2、</w:t>
      </w:r>
      <w:r>
        <w:rPr>
          <w:rFonts w:hint="default" w:asciiTheme="majorEastAsia" w:hAnsiTheme="majorEastAsia" w:eastAsiaTheme="majorEastAsia" w:cstheme="majorEastAsia"/>
          <w:color w:val="auto"/>
          <w:sz w:val="24"/>
          <w:szCs w:val="24"/>
          <w:highlight w:val="none"/>
          <w:lang w:val="en-US" w:eastAsia="zh-CN"/>
        </w:rPr>
        <w:t>支持使用SQL、MySQL或Oracle数据库</w:t>
      </w:r>
      <w:r>
        <w:rPr>
          <w:rFonts w:hint="eastAsia" w:asciiTheme="majorEastAsia" w:hAnsiTheme="majorEastAsia" w:eastAsiaTheme="majorEastAsia" w:cstheme="majorEastAsia"/>
          <w:color w:val="auto"/>
          <w:sz w:val="24"/>
          <w:szCs w:val="24"/>
          <w:highlight w:val="none"/>
          <w:lang w:val="en-US" w:eastAsia="zh-CN"/>
        </w:rPr>
        <w:t>；</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w:t>
      </w:r>
    </w:p>
    <w:p w14:paraId="28034823">
      <w:pPr>
        <w:pStyle w:val="47"/>
        <w:widowControl w:val="0"/>
        <w:jc w:val="both"/>
        <w:rPr>
          <w:rFonts w:hint="default"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6.3、支持</w:t>
      </w:r>
      <w:r>
        <w:rPr>
          <w:rFonts w:hint="default" w:asciiTheme="majorEastAsia" w:hAnsiTheme="majorEastAsia" w:eastAsiaTheme="majorEastAsia" w:cstheme="majorEastAsia"/>
          <w:color w:val="auto"/>
          <w:sz w:val="24"/>
          <w:szCs w:val="24"/>
          <w:highlight w:val="none"/>
          <w:lang w:val="en-US" w:eastAsia="zh-CN"/>
        </w:rPr>
        <w:t>HTTP/HTML/XML、CSV或文本格式进行企业级数据存档</w:t>
      </w:r>
      <w:r>
        <w:rPr>
          <w:rFonts w:hint="eastAsia" w:asciiTheme="majorEastAsia" w:hAnsiTheme="majorEastAsia" w:eastAsiaTheme="majorEastAsia" w:cstheme="majorEastAsia"/>
          <w:color w:val="auto"/>
          <w:sz w:val="24"/>
          <w:szCs w:val="24"/>
          <w:highlight w:val="none"/>
          <w:lang w:val="en-US" w:eastAsia="zh-CN"/>
        </w:rPr>
        <w:t>；</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rPr>
        <w:t>）</w:t>
      </w:r>
    </w:p>
    <w:p w14:paraId="69E79CE2">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6.4支持无限数量的用户通过互联网/局域网使用标准Web浏览器访问；</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4</w:t>
      </w:r>
      <w:r>
        <w:rPr>
          <w:rFonts w:hint="eastAsia" w:asciiTheme="majorEastAsia" w:hAnsiTheme="majorEastAsia" w:eastAsiaTheme="majorEastAsia" w:cstheme="majorEastAsia"/>
          <w:color w:val="auto"/>
          <w:sz w:val="24"/>
          <w:szCs w:val="24"/>
          <w:highlight w:val="none"/>
        </w:rPr>
        <w:t>）</w:t>
      </w:r>
    </w:p>
    <w:p w14:paraId="5A0918A0">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6.5软件接入规模点位不少于3000piont；</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5</w:t>
      </w:r>
      <w:r>
        <w:rPr>
          <w:rFonts w:hint="eastAsia" w:asciiTheme="majorEastAsia" w:hAnsiTheme="majorEastAsia" w:eastAsiaTheme="majorEastAsia" w:cstheme="majorEastAsia"/>
          <w:color w:val="auto"/>
          <w:sz w:val="24"/>
          <w:szCs w:val="24"/>
          <w:highlight w:val="none"/>
        </w:rPr>
        <w:t>）</w:t>
      </w:r>
    </w:p>
    <w:p w14:paraId="6BD789AF">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6.6支持BACnet、Modbus、OPC、oBIX等通讯协议；</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6</w:t>
      </w:r>
      <w:r>
        <w:rPr>
          <w:rFonts w:hint="eastAsia" w:asciiTheme="majorEastAsia" w:hAnsiTheme="majorEastAsia" w:eastAsiaTheme="majorEastAsia" w:cstheme="majorEastAsia"/>
          <w:color w:val="auto"/>
          <w:sz w:val="24"/>
          <w:szCs w:val="24"/>
          <w:highlight w:val="none"/>
        </w:rPr>
        <w:t>）</w:t>
      </w:r>
    </w:p>
    <w:p w14:paraId="1BF5350D">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6.7调试编程工具软件，可视化，一体化，程序开放。</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7</w:t>
      </w:r>
      <w:r>
        <w:rPr>
          <w:rFonts w:hint="eastAsia" w:asciiTheme="majorEastAsia" w:hAnsiTheme="majorEastAsia" w:eastAsiaTheme="majorEastAsia" w:cstheme="majorEastAsia"/>
          <w:color w:val="auto"/>
          <w:sz w:val="24"/>
          <w:szCs w:val="24"/>
          <w:highlight w:val="none"/>
        </w:rPr>
        <w:t>）</w:t>
      </w:r>
    </w:p>
    <w:p w14:paraId="4B25F2C9">
      <w:pPr>
        <w:pStyle w:val="47"/>
        <w:widowControl w:val="0"/>
        <w:jc w:val="both"/>
        <w:rPr>
          <w:rFonts w:hint="default"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7、供应货物质量要求</w:t>
      </w:r>
    </w:p>
    <w:p w14:paraId="3C32692F">
      <w:pPr>
        <w:pStyle w:val="47"/>
        <w:widowControl w:val="0"/>
        <w:jc w:val="both"/>
        <w:rPr>
          <w:rFonts w:hint="eastAsia" w:asciiTheme="majorEastAsia" w:hAnsiTheme="majorEastAsia" w:eastAsiaTheme="majorEastAsia" w:cstheme="majorEastAsia"/>
          <w:color w:val="auto"/>
          <w:sz w:val="24"/>
          <w:szCs w:val="24"/>
          <w:highlight w:val="none"/>
          <w:lang w:val="zh-CN"/>
        </w:rPr>
      </w:pPr>
      <w:r>
        <w:rPr>
          <w:rFonts w:hint="eastAsia" w:asciiTheme="majorEastAsia" w:hAnsiTheme="majorEastAsia" w:eastAsiaTheme="majorEastAsia" w:cstheme="majorEastAsia"/>
          <w:color w:val="auto"/>
          <w:sz w:val="24"/>
          <w:szCs w:val="24"/>
          <w:highlight w:val="none"/>
          <w:lang w:val="en-US" w:eastAsia="zh-CN"/>
        </w:rPr>
        <w:t>7.1</w:t>
      </w:r>
      <w:r>
        <w:rPr>
          <w:rFonts w:hint="eastAsia" w:asciiTheme="majorEastAsia" w:hAnsiTheme="majorEastAsia" w:eastAsiaTheme="majorEastAsia" w:cstheme="majorEastAsia"/>
          <w:color w:val="auto"/>
          <w:sz w:val="24"/>
          <w:szCs w:val="24"/>
          <w:highlight w:val="none"/>
          <w:lang w:val="zh-CN"/>
        </w:rPr>
        <w:t>供应商提供的货物必须是原厂的、合格的、未曾使用过的全新产品；</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8</w:t>
      </w:r>
      <w:r>
        <w:rPr>
          <w:rFonts w:hint="eastAsia" w:asciiTheme="majorEastAsia" w:hAnsiTheme="majorEastAsia" w:eastAsiaTheme="majorEastAsia" w:cstheme="majorEastAsia"/>
          <w:color w:val="auto"/>
          <w:sz w:val="24"/>
          <w:szCs w:val="24"/>
          <w:highlight w:val="none"/>
        </w:rPr>
        <w:t>）</w:t>
      </w:r>
    </w:p>
    <w:p w14:paraId="31EA287E">
      <w:pPr>
        <w:pStyle w:val="47"/>
        <w:widowControl w:val="0"/>
        <w:jc w:val="both"/>
        <w:rPr>
          <w:rFonts w:hint="eastAsia" w:asciiTheme="majorEastAsia" w:hAnsiTheme="majorEastAsia" w:eastAsiaTheme="majorEastAsia" w:cstheme="majorEastAsia"/>
          <w:color w:val="auto"/>
          <w:sz w:val="24"/>
          <w:szCs w:val="24"/>
          <w:highlight w:val="none"/>
          <w:lang w:val="zh-CN"/>
        </w:rPr>
      </w:pPr>
      <w:r>
        <w:rPr>
          <w:rFonts w:hint="eastAsia" w:asciiTheme="majorEastAsia" w:hAnsiTheme="majorEastAsia" w:eastAsiaTheme="majorEastAsia" w:cstheme="majorEastAsia"/>
          <w:color w:val="auto"/>
          <w:sz w:val="24"/>
          <w:szCs w:val="24"/>
          <w:highlight w:val="none"/>
          <w:lang w:val="en-US" w:eastAsia="zh-CN"/>
        </w:rPr>
        <w:t>7.2</w:t>
      </w:r>
      <w:r>
        <w:rPr>
          <w:rFonts w:hint="eastAsia" w:asciiTheme="majorEastAsia" w:hAnsiTheme="majorEastAsia" w:eastAsiaTheme="majorEastAsia" w:cstheme="majorEastAsia"/>
          <w:color w:val="auto"/>
          <w:sz w:val="24"/>
          <w:szCs w:val="24"/>
          <w:highlight w:val="none"/>
          <w:lang w:val="zh-CN"/>
        </w:rPr>
        <w:t>供应商提供的货物须符合相应的国家标准和行业标准的要求；</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9</w:t>
      </w:r>
      <w:r>
        <w:rPr>
          <w:rFonts w:hint="eastAsia" w:asciiTheme="majorEastAsia" w:hAnsiTheme="majorEastAsia" w:eastAsiaTheme="majorEastAsia" w:cstheme="majorEastAsia"/>
          <w:color w:val="auto"/>
          <w:sz w:val="24"/>
          <w:szCs w:val="24"/>
          <w:highlight w:val="none"/>
        </w:rPr>
        <w:t>）</w:t>
      </w:r>
    </w:p>
    <w:p w14:paraId="26F53D7D">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7.3</w:t>
      </w:r>
      <w:r>
        <w:rPr>
          <w:rFonts w:hint="eastAsia" w:asciiTheme="majorEastAsia" w:hAnsiTheme="majorEastAsia" w:eastAsiaTheme="majorEastAsia" w:cstheme="majorEastAsia"/>
          <w:color w:val="auto"/>
          <w:sz w:val="24"/>
          <w:szCs w:val="24"/>
          <w:highlight w:val="none"/>
          <w:lang w:val="zh-CN"/>
        </w:rPr>
        <w:t>易耗品材料在更换周期内，如出现材料质量问题，供应商须负责免费更换。</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10</w:t>
      </w:r>
      <w:r>
        <w:rPr>
          <w:rFonts w:hint="eastAsia" w:asciiTheme="majorEastAsia" w:hAnsiTheme="majorEastAsia" w:eastAsiaTheme="majorEastAsia" w:cstheme="majorEastAsia"/>
          <w:color w:val="auto"/>
          <w:sz w:val="24"/>
          <w:szCs w:val="24"/>
          <w:highlight w:val="none"/>
        </w:rPr>
        <w:t>）</w:t>
      </w:r>
    </w:p>
    <w:p w14:paraId="73157D73">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7.4、系统管理主机性能要求，CPU:3.2GHz，内存:32G,硬盘：2*2T，支持无线网卡和有线网卡，需要满足BA系统软件稳定流畅运行；</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11</w:t>
      </w:r>
      <w:r>
        <w:rPr>
          <w:rFonts w:hint="eastAsia" w:asciiTheme="majorEastAsia" w:hAnsiTheme="majorEastAsia" w:eastAsiaTheme="majorEastAsia" w:cstheme="majorEastAsia"/>
          <w:color w:val="auto"/>
          <w:sz w:val="24"/>
          <w:szCs w:val="24"/>
          <w:highlight w:val="none"/>
        </w:rPr>
        <w:t>）</w:t>
      </w:r>
    </w:p>
    <w:p w14:paraId="73D1C31B">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7.5建筑设备监控系统软件需要更新最新软件版本，要求兼容第三方系统接入；</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12</w:t>
      </w:r>
      <w:r>
        <w:rPr>
          <w:rFonts w:hint="eastAsia" w:asciiTheme="majorEastAsia" w:hAnsiTheme="majorEastAsia" w:eastAsiaTheme="majorEastAsia" w:cstheme="majorEastAsia"/>
          <w:color w:val="auto"/>
          <w:sz w:val="24"/>
          <w:szCs w:val="24"/>
          <w:highlight w:val="none"/>
        </w:rPr>
        <w:t>）</w:t>
      </w:r>
    </w:p>
    <w:p w14:paraId="5DB9BC23">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7.6智能网关性能要求，双核，内存512M,闪存8G,2个1000M工业网卡，支持4个RS485(电磁隔离)，支持2048个点位，采集协议500种以上，AC/DC12-24V供电，工作温度-40度到+85度；</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13</w:t>
      </w:r>
      <w:r>
        <w:rPr>
          <w:rFonts w:hint="eastAsia" w:asciiTheme="majorEastAsia" w:hAnsiTheme="majorEastAsia" w:eastAsiaTheme="majorEastAsia" w:cstheme="majorEastAsia"/>
          <w:color w:val="auto"/>
          <w:sz w:val="24"/>
          <w:szCs w:val="24"/>
          <w:highlight w:val="none"/>
        </w:rPr>
        <w:t>）</w:t>
      </w:r>
    </w:p>
    <w:p w14:paraId="02D80F1C">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7.7成套控制箱含独立CPU控制模块、自由编程控制器、箱体、电器相应组件，每个控制箱内有独立的时间模块处理功能的控制器；</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14</w:t>
      </w:r>
      <w:r>
        <w:rPr>
          <w:rFonts w:hint="eastAsia" w:asciiTheme="majorEastAsia" w:hAnsiTheme="majorEastAsia" w:eastAsiaTheme="majorEastAsia" w:cstheme="majorEastAsia"/>
          <w:color w:val="auto"/>
          <w:sz w:val="24"/>
          <w:szCs w:val="24"/>
          <w:highlight w:val="none"/>
        </w:rPr>
        <w:t>）</w:t>
      </w:r>
    </w:p>
    <w:p w14:paraId="4B3EAF05">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7.8风管式温度传感器测量范围：-40℃~150℃ 精度：±0.2℃  输出信号：DC 0~10V或4~20mA  响应时间：≤10秒  防护等级：IP54及以上；</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15</w:t>
      </w:r>
      <w:r>
        <w:rPr>
          <w:rFonts w:hint="eastAsia" w:asciiTheme="majorEastAsia" w:hAnsiTheme="majorEastAsia" w:eastAsiaTheme="majorEastAsia" w:cstheme="majorEastAsia"/>
          <w:color w:val="auto"/>
          <w:sz w:val="24"/>
          <w:szCs w:val="24"/>
          <w:highlight w:val="none"/>
        </w:rPr>
        <w:t>）</w:t>
      </w:r>
    </w:p>
    <w:p w14:paraId="3370180E">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7.9二氧化碳传感器测量范围：0~2000ppm  精度：±50ppm 输出信号：4~20mA或0~10V 工作温度：0~50℃  防护等级：IP54及以上；</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16</w:t>
      </w:r>
      <w:r>
        <w:rPr>
          <w:rFonts w:hint="eastAsia" w:asciiTheme="majorEastAsia" w:hAnsiTheme="majorEastAsia" w:eastAsiaTheme="majorEastAsia" w:cstheme="majorEastAsia"/>
          <w:color w:val="auto"/>
          <w:sz w:val="24"/>
          <w:szCs w:val="24"/>
          <w:highlight w:val="none"/>
        </w:rPr>
        <w:t>）</w:t>
      </w:r>
    </w:p>
    <w:p w14:paraId="5B504E1F">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7.10压差开关传感器测量范围：50~500Pa；</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17</w:t>
      </w:r>
      <w:r>
        <w:rPr>
          <w:rFonts w:hint="eastAsia" w:asciiTheme="majorEastAsia" w:hAnsiTheme="majorEastAsia" w:eastAsiaTheme="majorEastAsia" w:cstheme="majorEastAsia"/>
          <w:color w:val="auto"/>
          <w:sz w:val="24"/>
          <w:szCs w:val="24"/>
          <w:highlight w:val="none"/>
        </w:rPr>
        <w:t>）</w:t>
      </w:r>
    </w:p>
    <w:p w14:paraId="7D362672">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7.11水流开关传感器输出信号：开关量（干触点） 工作温度：-15~85℃ 防护等级：IP20及以上；</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18</w:t>
      </w:r>
      <w:r>
        <w:rPr>
          <w:rFonts w:hint="eastAsia" w:asciiTheme="majorEastAsia" w:hAnsiTheme="majorEastAsia" w:eastAsiaTheme="majorEastAsia" w:cstheme="majorEastAsia"/>
          <w:color w:val="auto"/>
          <w:sz w:val="24"/>
          <w:szCs w:val="24"/>
          <w:highlight w:val="none"/>
        </w:rPr>
        <w:t>）</w:t>
      </w:r>
    </w:p>
    <w:p w14:paraId="59730E3A">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7.12风门驱动器扭曲10Nm以上；</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19</w:t>
      </w:r>
      <w:r>
        <w:rPr>
          <w:rFonts w:hint="eastAsia" w:asciiTheme="majorEastAsia" w:hAnsiTheme="majorEastAsia" w:eastAsiaTheme="majorEastAsia" w:cstheme="majorEastAsia"/>
          <w:color w:val="auto"/>
          <w:sz w:val="24"/>
          <w:szCs w:val="24"/>
          <w:highlight w:val="none"/>
        </w:rPr>
        <w:t>）</w:t>
      </w:r>
    </w:p>
    <w:p w14:paraId="1B9CDD9C">
      <w:pPr>
        <w:pStyle w:val="47"/>
        <w:widowControl w:val="0"/>
        <w:jc w:val="both"/>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7.13工业交换机为导轨式工业级以太网交换机，支持端口聚合和断电告警，支持4个千兆电口，2个千兆光口；</w:t>
      </w:r>
      <w:r>
        <w:rPr>
          <w:rFonts w:hint="eastAsia" w:asciiTheme="majorEastAsia" w:hAnsiTheme="majorEastAsia" w:eastAsiaTheme="majorEastAsia" w:cstheme="majorEastAsia"/>
          <w:color w:val="auto"/>
          <w:sz w:val="24"/>
          <w:szCs w:val="24"/>
          <w:highlight w:val="none"/>
        </w:rPr>
        <w:t>（偏离项</w:t>
      </w:r>
      <w:r>
        <w:rPr>
          <w:rFonts w:hint="eastAsia" w:asciiTheme="majorEastAsia" w:hAnsiTheme="majorEastAsia" w:eastAsiaTheme="majorEastAsia" w:cstheme="majorEastAsia"/>
          <w:color w:val="auto"/>
          <w:sz w:val="24"/>
          <w:szCs w:val="24"/>
          <w:highlight w:val="none"/>
          <w:lang w:val="en-US" w:eastAsia="zh-CN"/>
        </w:rPr>
        <w:t>20</w:t>
      </w:r>
      <w:r>
        <w:rPr>
          <w:rFonts w:hint="eastAsia" w:asciiTheme="majorEastAsia" w:hAnsiTheme="majorEastAsia" w:eastAsiaTheme="majorEastAsia" w:cstheme="majorEastAsia"/>
          <w:color w:val="auto"/>
          <w:sz w:val="24"/>
          <w:szCs w:val="24"/>
          <w:highlight w:val="none"/>
        </w:rPr>
        <w:t>）</w:t>
      </w:r>
    </w:p>
    <w:p w14:paraId="4169DCDA">
      <w:pPr>
        <w:pStyle w:val="47"/>
        <w:widowControl w:val="0"/>
        <w:jc w:val="both"/>
        <w:rPr>
          <w:rFonts w:hint="eastAsia" w:ascii="宋体" w:hAnsi="宋体" w:cs="宋体"/>
          <w:b/>
          <w:bCs/>
          <w:color w:val="000000"/>
          <w:sz w:val="28"/>
          <w:szCs w:val="28"/>
          <w:lang w:val="en-US" w:eastAsia="zh-CN"/>
        </w:rPr>
      </w:pPr>
    </w:p>
    <w:p w14:paraId="596C6EEE">
      <w:pPr>
        <w:pStyle w:val="19"/>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Theme="majorEastAsia" w:hAnsiTheme="majorEastAsia" w:eastAsiaTheme="majorEastAsia" w:cstheme="majorEastAsia"/>
          <w:b/>
          <w:sz w:val="28"/>
          <w:szCs w:val="28"/>
          <w:highlight w:val="none"/>
        </w:rPr>
      </w:pPr>
      <w:r>
        <w:rPr>
          <w:rFonts w:hint="eastAsia" w:asciiTheme="majorEastAsia" w:hAnsiTheme="majorEastAsia" w:eastAsiaTheme="majorEastAsia" w:cstheme="majorEastAsia"/>
          <w:b/>
          <w:sz w:val="28"/>
          <w:szCs w:val="28"/>
          <w:highlight w:val="none"/>
          <w:lang w:val="en-US" w:eastAsia="zh-CN"/>
        </w:rPr>
        <w:t>四、</w:t>
      </w:r>
      <w:r>
        <w:rPr>
          <w:rFonts w:hint="eastAsia" w:asciiTheme="majorEastAsia" w:hAnsiTheme="majorEastAsia" w:eastAsiaTheme="majorEastAsia" w:cstheme="majorEastAsia"/>
          <w:b/>
          <w:sz w:val="28"/>
          <w:szCs w:val="28"/>
          <w:highlight w:val="none"/>
        </w:rPr>
        <w:t>评分方式：</w:t>
      </w:r>
    </w:p>
    <w:p w14:paraId="280CDE17">
      <w:pPr>
        <w:spacing w:line="480" w:lineRule="exact"/>
        <w:rPr>
          <w:rFonts w:hint="eastAsia" w:asciiTheme="majorEastAsia" w:hAnsiTheme="majorEastAsia" w:eastAsiaTheme="majorEastAsia" w:cstheme="majorEastAsia"/>
          <w:b/>
          <w:sz w:val="24"/>
          <w:szCs w:val="24"/>
          <w:highlight w:val="none"/>
          <w:lang w:val="en-US" w:eastAsia="zh-CN"/>
        </w:rPr>
      </w:pPr>
      <w:r>
        <w:rPr>
          <w:rFonts w:hint="eastAsia" w:asciiTheme="majorEastAsia" w:hAnsiTheme="majorEastAsia" w:eastAsiaTheme="majorEastAsia" w:cstheme="majorEastAsia"/>
          <w:b w:val="0"/>
          <w:bCs/>
          <w:sz w:val="24"/>
          <w:szCs w:val="24"/>
          <w:highlight w:val="none"/>
          <w:lang w:val="en-US" w:eastAsia="zh-CN"/>
        </w:rPr>
        <w:t>综合评分法</w:t>
      </w:r>
      <w:r>
        <w:rPr>
          <w:rFonts w:hint="eastAsia" w:asciiTheme="majorEastAsia" w:hAnsiTheme="majorEastAsia" w:eastAsiaTheme="majorEastAsia" w:cstheme="majorEastAsia"/>
          <w:bCs/>
          <w:sz w:val="24"/>
          <w:szCs w:val="24"/>
          <w:highlight w:val="none"/>
        </w:rPr>
        <w:t>各投标人的最终得分等于=A＋B＋C</w:t>
      </w:r>
    </w:p>
    <w:p w14:paraId="6F838E4B">
      <w:pPr>
        <w:pStyle w:val="47"/>
        <w:widowControl w:val="0"/>
        <w:jc w:val="both"/>
        <w:rPr>
          <w:rFonts w:hint="default" w:ascii="宋体" w:hAnsi="宋体" w:cs="宋体"/>
          <w:b/>
          <w:bCs/>
          <w:color w:val="000000"/>
          <w:sz w:val="28"/>
          <w:szCs w:val="28"/>
          <w:lang w:val="en-US" w:eastAsia="zh-CN"/>
        </w:rPr>
      </w:pPr>
      <w:r>
        <w:rPr>
          <w:rFonts w:hint="eastAsia" w:asciiTheme="majorEastAsia" w:hAnsiTheme="majorEastAsia" w:eastAsiaTheme="majorEastAsia" w:cstheme="majorEastAsia"/>
          <w:sz w:val="24"/>
          <w:szCs w:val="24"/>
          <w:highlight w:val="none"/>
          <w:lang w:val="en-US" w:eastAsia="zh-CN"/>
        </w:rPr>
        <w:t>A</w:t>
      </w:r>
      <w:r>
        <w:rPr>
          <w:rFonts w:hint="eastAsia" w:asciiTheme="majorEastAsia" w:hAnsiTheme="majorEastAsia" w:eastAsiaTheme="majorEastAsia" w:cstheme="majorEastAsia"/>
          <w:sz w:val="24"/>
          <w:szCs w:val="24"/>
          <w:highlight w:val="none"/>
        </w:rPr>
        <w:t>、报价部分满分</w:t>
      </w:r>
      <w:r>
        <w:rPr>
          <w:rFonts w:hint="eastAsia" w:asciiTheme="majorEastAsia" w:hAnsiTheme="majorEastAsia" w:eastAsiaTheme="majorEastAsia" w:cstheme="majorEastAsia"/>
          <w:bCs/>
          <w:color w:val="auto"/>
          <w:kern w:val="0"/>
          <w:sz w:val="24"/>
          <w:szCs w:val="24"/>
          <w:highlight w:val="none"/>
          <w:u w:val="single"/>
          <w:lang w:val="en-US" w:eastAsia="zh-CN" w:bidi="ar-SA"/>
        </w:rPr>
        <w:t>30</w:t>
      </w:r>
      <w:r>
        <w:rPr>
          <w:rFonts w:hint="eastAsia" w:asciiTheme="majorEastAsia" w:hAnsiTheme="majorEastAsia" w:eastAsiaTheme="majorEastAsia" w:cstheme="majorEastAsia"/>
          <w:sz w:val="24"/>
          <w:szCs w:val="24"/>
          <w:highlight w:val="none"/>
        </w:rPr>
        <w:t>分</w:t>
      </w:r>
    </w:p>
    <w:tbl>
      <w:tblPr>
        <w:tblStyle w:val="22"/>
        <w:tblW w:w="49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7394"/>
      </w:tblGrid>
      <w:tr w14:paraId="5EAD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2"/>
            <w:vAlign w:val="center"/>
          </w:tcPr>
          <w:p w14:paraId="2CFF5F7D">
            <w:pPr>
              <w:spacing w:line="420" w:lineRule="exact"/>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若投标人的报价明显低于其他报价，使得其投标报价可能低于其个别成本的，有可能影响服务质量或不能诚信履约的，投标人应按评标委员会要求作出书面说明并提供相关证明材料，不能合理说明或不能提供相关证明材料的，可作无效投标处理。</w:t>
            </w:r>
          </w:p>
        </w:tc>
      </w:tr>
      <w:tr w14:paraId="64B9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07" w:type="pct"/>
            <w:vAlign w:val="center"/>
          </w:tcPr>
          <w:p w14:paraId="7A1F560D">
            <w:pPr>
              <w:spacing w:line="420" w:lineRule="exact"/>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lang w:val="en-US" w:eastAsia="zh-CN"/>
              </w:rPr>
              <w:t>A</w:t>
            </w:r>
            <w:r>
              <w:rPr>
                <w:rFonts w:hint="eastAsia" w:asciiTheme="majorEastAsia" w:hAnsiTheme="majorEastAsia" w:eastAsiaTheme="majorEastAsia" w:cstheme="majorEastAsia"/>
                <w:sz w:val="24"/>
                <w:szCs w:val="24"/>
                <w:highlight w:val="none"/>
              </w:rPr>
              <w:t>、价格部分（满分</w:t>
            </w:r>
            <w:r>
              <w:rPr>
                <w:rFonts w:hint="eastAsia" w:asciiTheme="majorEastAsia" w:hAnsiTheme="majorEastAsia" w:eastAsiaTheme="majorEastAsia" w:cstheme="majorEastAsia"/>
                <w:sz w:val="24"/>
                <w:szCs w:val="24"/>
                <w:highlight w:val="none"/>
                <w:lang w:val="en-US" w:eastAsia="zh-CN"/>
              </w:rPr>
              <w:t>3</w:t>
            </w:r>
            <w:r>
              <w:rPr>
                <w:rFonts w:hint="eastAsia" w:asciiTheme="majorEastAsia" w:hAnsiTheme="majorEastAsia" w:eastAsiaTheme="majorEastAsia" w:cstheme="majorEastAsia"/>
                <w:sz w:val="24"/>
                <w:szCs w:val="24"/>
                <w:highlight w:val="none"/>
              </w:rPr>
              <w:t>0分）</w:t>
            </w:r>
          </w:p>
        </w:tc>
        <w:tc>
          <w:tcPr>
            <w:tcW w:w="4392" w:type="pct"/>
            <w:vAlign w:val="center"/>
          </w:tcPr>
          <w:p w14:paraId="7B402BB3">
            <w:pPr>
              <w:spacing w:line="440" w:lineRule="exac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C=（B÷Bn）</w:t>
            </w: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0%×100</w:t>
            </w:r>
          </w:p>
          <w:p w14:paraId="5C772AAD">
            <w:pPr>
              <w:spacing w:line="440" w:lineRule="exac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式中：C为报价部分得分；</w:t>
            </w:r>
          </w:p>
          <w:p w14:paraId="24D56C6E">
            <w:pPr>
              <w:spacing w:line="440" w:lineRule="exac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 xml:space="preserve">      B为所有报价人进入综合评分的最低报价；</w:t>
            </w:r>
          </w:p>
          <w:p w14:paraId="4210CF99">
            <w:pPr>
              <w:spacing w:line="440" w:lineRule="exac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 xml:space="preserve">      Bn为报价人提供的有效报价。</w:t>
            </w:r>
          </w:p>
          <w:p w14:paraId="4C343D77">
            <w:pPr>
              <w:spacing w:line="480" w:lineRule="exact"/>
              <w:ind w:firstLine="480" w:firstLineChars="20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t>备注：计算分数时四舍五入取小数点后两位。</w:t>
            </w:r>
          </w:p>
        </w:tc>
      </w:tr>
    </w:tbl>
    <w:p w14:paraId="41A0447C">
      <w:pPr>
        <w:pStyle w:val="19"/>
        <w:spacing w:line="360" w:lineRule="auto"/>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sz w:val="24"/>
          <w:szCs w:val="24"/>
          <w:highlight w:val="none"/>
          <w:lang w:val="en-US" w:eastAsia="zh-CN"/>
        </w:rPr>
        <w:t>B</w:t>
      </w:r>
      <w:r>
        <w:rPr>
          <w:rFonts w:hint="eastAsia" w:asciiTheme="majorEastAsia" w:hAnsiTheme="majorEastAsia" w:eastAsiaTheme="majorEastAsia" w:cstheme="majorEastAsia"/>
          <w:bCs/>
          <w:sz w:val="24"/>
          <w:szCs w:val="24"/>
          <w:highlight w:val="none"/>
        </w:rPr>
        <w:t>、技术项  满分</w:t>
      </w:r>
      <w:r>
        <w:rPr>
          <w:rFonts w:hint="eastAsia" w:asciiTheme="majorEastAsia" w:hAnsiTheme="majorEastAsia" w:eastAsiaTheme="majorEastAsia" w:cstheme="majorEastAsia"/>
          <w:bCs/>
          <w:color w:val="auto"/>
          <w:sz w:val="24"/>
          <w:szCs w:val="24"/>
          <w:highlight w:val="none"/>
        </w:rPr>
        <w:t>为</w:t>
      </w:r>
      <w:r>
        <w:rPr>
          <w:rFonts w:hint="eastAsia" w:asciiTheme="majorEastAsia" w:hAnsiTheme="majorEastAsia" w:eastAsiaTheme="majorEastAsia" w:cstheme="majorEastAsia"/>
          <w:bCs/>
          <w:color w:val="auto"/>
          <w:sz w:val="24"/>
          <w:szCs w:val="24"/>
          <w:highlight w:val="none"/>
          <w:u w:val="single"/>
          <w:lang w:val="en-US" w:eastAsia="zh-CN"/>
        </w:rPr>
        <w:t>49</w:t>
      </w:r>
      <w:r>
        <w:rPr>
          <w:rFonts w:hint="eastAsia" w:asciiTheme="majorEastAsia" w:hAnsiTheme="majorEastAsia" w:eastAsiaTheme="majorEastAsia" w:cstheme="majorEastAsia"/>
          <w:bCs/>
          <w:color w:val="auto"/>
          <w:sz w:val="24"/>
          <w:szCs w:val="24"/>
          <w:highlight w:val="none"/>
        </w:rPr>
        <w:t>分。</w:t>
      </w:r>
    </w:p>
    <w:tbl>
      <w:tblPr>
        <w:tblStyle w:val="22"/>
        <w:tblW w:w="9413"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322"/>
        <w:gridCol w:w="761"/>
        <w:gridCol w:w="7330"/>
      </w:tblGrid>
      <w:tr w14:paraId="2A56F6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1322" w:type="dxa"/>
            <w:tcBorders>
              <w:top w:val="outset" w:color="auto" w:sz="6" w:space="0"/>
              <w:left w:val="outset" w:color="auto" w:sz="6" w:space="0"/>
              <w:bottom w:val="outset" w:color="auto" w:sz="6" w:space="0"/>
              <w:right w:val="outset" w:color="auto" w:sz="6" w:space="0"/>
            </w:tcBorders>
            <w:vAlign w:val="center"/>
          </w:tcPr>
          <w:p w14:paraId="12F60E02">
            <w:pPr>
              <w:adjustRightInd/>
              <w:snapToGrid/>
              <w:spacing w:after="0" w:line="480" w:lineRule="atLeas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评标项目</w:t>
            </w:r>
          </w:p>
        </w:tc>
        <w:tc>
          <w:tcPr>
            <w:tcW w:w="761" w:type="dxa"/>
            <w:tcBorders>
              <w:top w:val="outset" w:color="auto" w:sz="6" w:space="0"/>
              <w:left w:val="outset" w:color="auto" w:sz="6" w:space="0"/>
              <w:bottom w:val="outset" w:color="auto" w:sz="6" w:space="0"/>
              <w:right w:val="outset" w:color="auto" w:sz="6" w:space="0"/>
            </w:tcBorders>
            <w:vAlign w:val="center"/>
          </w:tcPr>
          <w:p w14:paraId="66792FBC">
            <w:pPr>
              <w:adjustRightInd/>
              <w:snapToGrid/>
              <w:spacing w:after="0" w:line="480" w:lineRule="atLeas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评标分值</w:t>
            </w:r>
          </w:p>
        </w:tc>
        <w:tc>
          <w:tcPr>
            <w:tcW w:w="7330" w:type="dxa"/>
            <w:tcBorders>
              <w:top w:val="outset" w:color="auto" w:sz="6" w:space="0"/>
              <w:left w:val="outset" w:color="auto" w:sz="6" w:space="0"/>
              <w:bottom w:val="outset" w:color="auto" w:sz="6" w:space="0"/>
              <w:right w:val="outset" w:color="auto" w:sz="6" w:space="0"/>
            </w:tcBorders>
            <w:vAlign w:val="center"/>
          </w:tcPr>
          <w:p w14:paraId="2AAECA45">
            <w:pPr>
              <w:adjustRightInd/>
              <w:snapToGrid/>
              <w:spacing w:after="0" w:line="480" w:lineRule="atLeas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评标方法描述</w:t>
            </w:r>
          </w:p>
        </w:tc>
      </w:tr>
      <w:tr w14:paraId="30871CB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1322" w:type="dxa"/>
            <w:tcBorders>
              <w:top w:val="outset" w:color="auto" w:sz="6" w:space="0"/>
              <w:left w:val="outset" w:color="auto" w:sz="6" w:space="0"/>
              <w:bottom w:val="outset" w:color="auto" w:sz="6" w:space="0"/>
              <w:right w:val="outset" w:color="auto" w:sz="6" w:space="0"/>
            </w:tcBorders>
            <w:vAlign w:val="center"/>
          </w:tcPr>
          <w:p w14:paraId="3C4DBAFB">
            <w:pPr>
              <w:adjustRightInd/>
              <w:snapToGrid/>
              <w:spacing w:after="0" w:line="480" w:lineRule="atLeas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技术服务要求响应情况</w:t>
            </w:r>
          </w:p>
        </w:tc>
        <w:tc>
          <w:tcPr>
            <w:tcW w:w="761" w:type="dxa"/>
            <w:tcBorders>
              <w:top w:val="outset" w:color="auto" w:sz="6" w:space="0"/>
              <w:left w:val="outset" w:color="auto" w:sz="6" w:space="0"/>
              <w:bottom w:val="outset" w:color="auto" w:sz="6" w:space="0"/>
              <w:right w:val="outset" w:color="auto" w:sz="6" w:space="0"/>
            </w:tcBorders>
            <w:vAlign w:val="center"/>
          </w:tcPr>
          <w:p w14:paraId="2F5D6B59">
            <w:pPr>
              <w:adjustRightInd/>
              <w:snapToGrid/>
              <w:spacing w:after="0" w:line="480" w:lineRule="atLeast"/>
              <w:jc w:val="center"/>
              <w:rPr>
                <w:rFonts w:hint="default"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40</w:t>
            </w:r>
          </w:p>
        </w:tc>
        <w:tc>
          <w:tcPr>
            <w:tcW w:w="7330" w:type="dxa"/>
            <w:tcBorders>
              <w:top w:val="outset" w:color="auto" w:sz="6" w:space="0"/>
              <w:left w:val="outset" w:color="auto" w:sz="6" w:space="0"/>
              <w:bottom w:val="outset" w:color="auto" w:sz="6" w:space="0"/>
              <w:right w:val="outset" w:color="auto" w:sz="6" w:space="0"/>
            </w:tcBorders>
            <w:vAlign w:val="center"/>
          </w:tcPr>
          <w:p w14:paraId="00CA171E">
            <w:pPr>
              <w:adjustRightInd/>
              <w:snapToGrid/>
              <w:spacing w:after="0" w:line="480" w:lineRule="atLeas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根据各供应商文件“技术服务要求”中的逐项响应承诺情况，由评标小组进行评议并评分, 完全满足</w:t>
            </w:r>
            <w:r>
              <w:rPr>
                <w:rFonts w:hint="eastAsia" w:asciiTheme="majorEastAsia" w:hAnsiTheme="majorEastAsia" w:eastAsiaTheme="majorEastAsia" w:cstheme="majorEastAsia"/>
                <w:color w:val="auto"/>
                <w:sz w:val="24"/>
                <w:szCs w:val="24"/>
                <w:highlight w:val="none"/>
                <w:lang w:val="en-US" w:eastAsia="zh-CN"/>
              </w:rPr>
              <w:t>招标</w:t>
            </w:r>
            <w:r>
              <w:rPr>
                <w:rFonts w:hint="eastAsia" w:asciiTheme="majorEastAsia" w:hAnsiTheme="majorEastAsia" w:eastAsiaTheme="majorEastAsia" w:cstheme="majorEastAsia"/>
                <w:color w:val="auto"/>
                <w:sz w:val="24"/>
                <w:szCs w:val="24"/>
                <w:highlight w:val="none"/>
              </w:rPr>
              <w:t>文件技术参数要求的得</w:t>
            </w:r>
            <w:r>
              <w:rPr>
                <w:rFonts w:hint="eastAsia" w:asciiTheme="majorEastAsia" w:hAnsiTheme="majorEastAsia" w:eastAsiaTheme="majorEastAsia" w:cstheme="majorEastAsia"/>
                <w:color w:val="auto"/>
                <w:sz w:val="24"/>
                <w:szCs w:val="24"/>
                <w:highlight w:val="none"/>
                <w:lang w:val="en-US" w:eastAsia="zh-CN"/>
              </w:rPr>
              <w:t>40</w:t>
            </w:r>
            <w:r>
              <w:rPr>
                <w:rFonts w:hint="eastAsia" w:asciiTheme="majorEastAsia" w:hAnsiTheme="majorEastAsia" w:eastAsiaTheme="majorEastAsia" w:cstheme="majorEastAsia"/>
                <w:color w:val="auto"/>
                <w:sz w:val="24"/>
                <w:szCs w:val="24"/>
                <w:highlight w:val="none"/>
              </w:rPr>
              <w:t>分,序号1至</w:t>
            </w:r>
            <w:r>
              <w:rPr>
                <w:rFonts w:hint="eastAsia" w:asciiTheme="majorEastAsia" w:hAnsiTheme="majorEastAsia" w:eastAsiaTheme="majorEastAsia" w:cstheme="majorEastAsia"/>
                <w:color w:val="auto"/>
                <w:sz w:val="24"/>
                <w:szCs w:val="24"/>
                <w:highlight w:val="none"/>
                <w:lang w:val="en-US" w:eastAsia="zh-CN"/>
              </w:rPr>
              <w:t>20</w:t>
            </w:r>
            <w:r>
              <w:rPr>
                <w:rFonts w:hint="eastAsia" w:asciiTheme="majorEastAsia" w:hAnsiTheme="majorEastAsia" w:eastAsiaTheme="majorEastAsia" w:cstheme="majorEastAsia"/>
                <w:color w:val="auto"/>
                <w:sz w:val="24"/>
                <w:szCs w:val="24"/>
                <w:highlight w:val="none"/>
              </w:rPr>
              <w:t>（共计</w:t>
            </w:r>
            <w:r>
              <w:rPr>
                <w:rFonts w:hint="eastAsia" w:asciiTheme="majorEastAsia" w:hAnsiTheme="majorEastAsia" w:eastAsiaTheme="majorEastAsia" w:cstheme="majorEastAsia"/>
                <w:color w:val="auto"/>
                <w:sz w:val="24"/>
                <w:szCs w:val="24"/>
                <w:highlight w:val="none"/>
                <w:lang w:val="en-US" w:eastAsia="zh-CN"/>
              </w:rPr>
              <w:t>20</w:t>
            </w:r>
            <w:r>
              <w:rPr>
                <w:rFonts w:hint="eastAsia" w:asciiTheme="majorEastAsia" w:hAnsiTheme="majorEastAsia" w:eastAsiaTheme="majorEastAsia" w:cstheme="majorEastAsia"/>
                <w:color w:val="auto"/>
                <w:sz w:val="24"/>
                <w:szCs w:val="24"/>
                <w:highlight w:val="none"/>
              </w:rPr>
              <w:t>项）每负偏离一项的扣</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分，正偏离不加分，扣完为止；供应商须按照本</w:t>
            </w:r>
            <w:r>
              <w:rPr>
                <w:rFonts w:hint="eastAsia" w:asciiTheme="majorEastAsia" w:hAnsiTheme="majorEastAsia" w:eastAsiaTheme="majorEastAsia" w:cstheme="majorEastAsia"/>
                <w:color w:val="auto"/>
                <w:sz w:val="24"/>
                <w:szCs w:val="24"/>
                <w:highlight w:val="none"/>
                <w:lang w:val="en-US" w:eastAsia="zh-CN"/>
              </w:rPr>
              <w:t>招标</w:t>
            </w:r>
            <w:r>
              <w:rPr>
                <w:rFonts w:hint="eastAsia" w:asciiTheme="majorEastAsia" w:hAnsiTheme="majorEastAsia" w:eastAsiaTheme="majorEastAsia" w:cstheme="majorEastAsia"/>
                <w:color w:val="auto"/>
                <w:sz w:val="24"/>
                <w:szCs w:val="24"/>
                <w:highlight w:val="none"/>
              </w:rPr>
              <w:t>文件所列的所有技术要求如实填写逐条响应。</w:t>
            </w:r>
          </w:p>
        </w:tc>
      </w:tr>
      <w:tr w14:paraId="13BC0A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1322" w:type="dxa"/>
            <w:tcBorders>
              <w:top w:val="outset" w:color="auto" w:sz="6" w:space="0"/>
              <w:left w:val="outset" w:color="auto" w:sz="6" w:space="0"/>
              <w:bottom w:val="outset" w:color="auto" w:sz="6" w:space="0"/>
              <w:right w:val="outset" w:color="auto" w:sz="6" w:space="0"/>
            </w:tcBorders>
            <w:shd w:val="clear" w:color="auto" w:fill="auto"/>
            <w:vAlign w:val="center"/>
          </w:tcPr>
          <w:p w14:paraId="29EDBF79">
            <w:pPr>
              <w:adjustRightInd/>
              <w:snapToGrid/>
              <w:spacing w:after="0" w:line="480" w:lineRule="atLeast"/>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rPr>
              <w:t>组织实施方案</w:t>
            </w:r>
          </w:p>
        </w:tc>
        <w:tc>
          <w:tcPr>
            <w:tcW w:w="761" w:type="dxa"/>
            <w:tcBorders>
              <w:top w:val="outset" w:color="auto" w:sz="6" w:space="0"/>
              <w:left w:val="outset" w:color="auto" w:sz="6" w:space="0"/>
              <w:bottom w:val="outset" w:color="auto" w:sz="6" w:space="0"/>
              <w:right w:val="outset" w:color="auto" w:sz="6" w:space="0"/>
            </w:tcBorders>
            <w:shd w:val="clear" w:color="auto" w:fill="auto"/>
            <w:vAlign w:val="center"/>
          </w:tcPr>
          <w:p w14:paraId="292E1BBF">
            <w:pPr>
              <w:adjustRightInd/>
              <w:snapToGrid/>
              <w:spacing w:after="0" w:line="480" w:lineRule="atLeast"/>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lang w:val="en-US" w:eastAsia="zh-CN"/>
              </w:rPr>
              <w:t>3</w:t>
            </w:r>
          </w:p>
        </w:tc>
        <w:tc>
          <w:tcPr>
            <w:tcW w:w="7330" w:type="dxa"/>
            <w:tcBorders>
              <w:top w:val="outset" w:color="auto" w:sz="6" w:space="0"/>
              <w:left w:val="outset" w:color="auto" w:sz="6" w:space="0"/>
              <w:bottom w:val="outset" w:color="auto" w:sz="6" w:space="0"/>
              <w:right w:val="outset" w:color="auto" w:sz="6" w:space="0"/>
            </w:tcBorders>
            <w:shd w:val="clear" w:color="auto" w:fill="auto"/>
            <w:vAlign w:val="center"/>
          </w:tcPr>
          <w:p w14:paraId="3DD9425F">
            <w:pPr>
              <w:adjustRightInd/>
              <w:snapToGrid/>
              <w:spacing w:after="0" w:line="480" w:lineRule="atLeast"/>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rPr>
              <w:t>投标人针对本项目提供项目组织实施方案（包括项目进度计划、保障措施、项目组织结构、标准操作规程（SOP）文档等内容，以及人员管理、服务承诺等要点），由评标委员会进行评分：方案包含的要点齐全无缺漏项、内容与要点相符、内容完善且能够适用于本项目的得</w:t>
            </w: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rPr>
              <w:t>分；方案所包含的要点齐全、内容与要点相符，但仅有纲要内容简略，未展开阐述的得</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lang w:val="en-US" w:eastAsia="zh-CN"/>
              </w:rPr>
              <w:t>5</w:t>
            </w:r>
            <w:r>
              <w:rPr>
                <w:rFonts w:hint="eastAsia" w:asciiTheme="majorEastAsia" w:hAnsiTheme="majorEastAsia" w:eastAsiaTheme="majorEastAsia" w:cstheme="majorEastAsia"/>
                <w:color w:val="auto"/>
                <w:sz w:val="24"/>
                <w:szCs w:val="24"/>
                <w:highlight w:val="none"/>
              </w:rPr>
              <w:t>分；方案所包含的要点有缺漏或内容简略的得</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分，未提供的不得分。</w:t>
            </w:r>
          </w:p>
        </w:tc>
      </w:tr>
      <w:tr w14:paraId="3F8FF8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0" w:type="auto"/>
            <w:shd w:val="clear" w:color="auto" w:fill="auto"/>
            <w:vAlign w:val="center"/>
          </w:tcPr>
          <w:p w14:paraId="4BAE7713">
            <w:pPr>
              <w:adjustRightInd/>
              <w:snapToGrid/>
              <w:spacing w:after="0" w:line="480" w:lineRule="atLeast"/>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rPr>
              <w:t>质量控制体系</w:t>
            </w:r>
          </w:p>
        </w:tc>
        <w:tc>
          <w:tcPr>
            <w:tcW w:w="0" w:type="auto"/>
            <w:shd w:val="clear" w:color="auto" w:fill="auto"/>
            <w:vAlign w:val="center"/>
          </w:tcPr>
          <w:p w14:paraId="01A80FDE">
            <w:pPr>
              <w:adjustRightInd/>
              <w:snapToGrid/>
              <w:spacing w:after="0" w:line="480" w:lineRule="atLeast"/>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lang w:val="en-US" w:eastAsia="zh-CN"/>
              </w:rPr>
              <w:t>3</w:t>
            </w:r>
          </w:p>
        </w:tc>
        <w:tc>
          <w:tcPr>
            <w:tcW w:w="0" w:type="auto"/>
            <w:shd w:val="clear" w:color="auto" w:fill="auto"/>
            <w:vAlign w:val="center"/>
          </w:tcPr>
          <w:p w14:paraId="7FE08030">
            <w:pPr>
              <w:adjustRightInd/>
              <w:snapToGrid/>
              <w:spacing w:after="0" w:line="480" w:lineRule="atLeast"/>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rPr>
              <w:t>投标人需提供合理优质的质量控制详细承诺方案，方案内容包括货物质量和安装施工质量，货物的安全控制，施工场所的安全施工等承诺，由评委进行评分，符合项目特点，方案详细，科学合理，可操作性强的得</w:t>
            </w: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rPr>
              <w:t>分；方案详细，整体操作一般得</w:t>
            </w:r>
            <w:r>
              <w:rPr>
                <w:rFonts w:hint="eastAsia" w:asciiTheme="majorEastAsia" w:hAnsiTheme="majorEastAsia" w:eastAsiaTheme="majorEastAsia" w:cstheme="majorEastAsia"/>
                <w:color w:val="auto"/>
                <w:sz w:val="24"/>
                <w:szCs w:val="24"/>
                <w:highlight w:val="none"/>
                <w:lang w:val="en-US" w:eastAsia="zh-CN"/>
              </w:rPr>
              <w:t>2.5</w:t>
            </w:r>
            <w:r>
              <w:rPr>
                <w:rFonts w:hint="eastAsia" w:asciiTheme="majorEastAsia" w:hAnsiTheme="majorEastAsia" w:eastAsiaTheme="majorEastAsia" w:cstheme="majorEastAsia"/>
                <w:color w:val="auto"/>
                <w:sz w:val="24"/>
                <w:szCs w:val="24"/>
                <w:highlight w:val="none"/>
              </w:rPr>
              <w:t>分；方案简短，但整体仍可操作的得</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分；未提供不得分。</w:t>
            </w:r>
          </w:p>
        </w:tc>
      </w:tr>
      <w:tr w14:paraId="01FD8F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0" w:type="auto"/>
            <w:shd w:val="clear" w:color="auto" w:fill="auto"/>
            <w:vAlign w:val="center"/>
          </w:tcPr>
          <w:p w14:paraId="174BAC3F">
            <w:pPr>
              <w:adjustRightInd/>
              <w:snapToGrid/>
              <w:spacing w:after="0" w:line="480" w:lineRule="atLeast"/>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rPr>
              <w:t>应急方案</w:t>
            </w:r>
          </w:p>
        </w:tc>
        <w:tc>
          <w:tcPr>
            <w:tcW w:w="0" w:type="auto"/>
            <w:shd w:val="clear" w:color="auto" w:fill="auto"/>
            <w:vAlign w:val="center"/>
          </w:tcPr>
          <w:p w14:paraId="6D01C184">
            <w:pPr>
              <w:adjustRightInd/>
              <w:snapToGrid/>
              <w:spacing w:after="0" w:line="480" w:lineRule="atLeast"/>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lang w:val="en-US" w:eastAsia="zh-CN"/>
              </w:rPr>
              <w:t>3</w:t>
            </w:r>
          </w:p>
        </w:tc>
        <w:tc>
          <w:tcPr>
            <w:tcW w:w="0" w:type="auto"/>
            <w:shd w:val="clear" w:color="auto" w:fill="auto"/>
            <w:vAlign w:val="center"/>
          </w:tcPr>
          <w:p w14:paraId="68B72EE6">
            <w:pPr>
              <w:adjustRightInd/>
              <w:snapToGrid/>
              <w:spacing w:after="0" w:line="480" w:lineRule="atLeast"/>
              <w:jc w:val="left"/>
              <w:rPr>
                <w:rFonts w:hint="eastAsia" w:asciiTheme="majorEastAsia" w:hAnsiTheme="majorEastAsia" w:eastAsiaTheme="majorEastAsia" w:cstheme="majorEastAsia"/>
                <w:color w:val="auto"/>
                <w:kern w:val="0"/>
                <w:sz w:val="24"/>
                <w:szCs w:val="24"/>
                <w:highlight w:val="none"/>
                <w:lang w:val="en-US" w:eastAsia="zh-CN" w:bidi="ar-SA"/>
              </w:rPr>
            </w:pPr>
            <w:r>
              <w:rPr>
                <w:rFonts w:hint="eastAsia" w:asciiTheme="majorEastAsia" w:hAnsiTheme="majorEastAsia" w:eastAsiaTheme="majorEastAsia" w:cstheme="majorEastAsia"/>
                <w:color w:val="auto"/>
                <w:sz w:val="24"/>
                <w:szCs w:val="24"/>
                <w:highlight w:val="none"/>
              </w:rPr>
              <w:t>根据供应商提供的针对本项目制定的应急预案，包括制定突发性事件、停电</w:t>
            </w:r>
            <w:r>
              <w:rPr>
                <w:rFonts w:hint="eastAsia" w:asciiTheme="majorEastAsia" w:hAnsiTheme="majorEastAsia" w:eastAsiaTheme="majorEastAsia" w:cstheme="majorEastAsia"/>
                <w:color w:val="auto"/>
                <w:sz w:val="24"/>
                <w:szCs w:val="24"/>
                <w:highlight w:val="none"/>
                <w:lang w:eastAsia="zh-CN"/>
              </w:rPr>
              <w:t>和停水维护</w:t>
            </w:r>
            <w:r>
              <w:rPr>
                <w:rFonts w:hint="eastAsia" w:asciiTheme="majorEastAsia" w:hAnsiTheme="majorEastAsia" w:eastAsiaTheme="majorEastAsia" w:cstheme="majorEastAsia"/>
                <w:color w:val="auto"/>
                <w:sz w:val="24"/>
                <w:szCs w:val="24"/>
                <w:highlight w:val="none"/>
              </w:rPr>
              <w:t>等的应急预案，是否具备有效的预防和应急措施情况，由</w:t>
            </w:r>
            <w:r>
              <w:rPr>
                <w:rFonts w:hint="eastAsia" w:asciiTheme="majorEastAsia" w:hAnsiTheme="majorEastAsia" w:eastAsiaTheme="majorEastAsia" w:cstheme="majorEastAsia"/>
                <w:color w:val="auto"/>
                <w:sz w:val="24"/>
                <w:szCs w:val="24"/>
                <w:highlight w:val="none"/>
                <w:lang w:val="en-US" w:eastAsia="zh-CN"/>
              </w:rPr>
              <w:t>招标</w:t>
            </w:r>
            <w:r>
              <w:rPr>
                <w:rFonts w:hint="eastAsia" w:asciiTheme="majorEastAsia" w:hAnsiTheme="majorEastAsia" w:eastAsiaTheme="majorEastAsia" w:cstheme="majorEastAsia"/>
                <w:color w:val="auto"/>
                <w:sz w:val="24"/>
                <w:szCs w:val="24"/>
                <w:highlight w:val="none"/>
              </w:rPr>
              <w:t>小组进行评分，方案有具体的措施、应急反应迅速、描述详细的得</w:t>
            </w: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rPr>
              <w:t>分</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应急方案部分详实或部分内容可操作性较强的得</w:t>
            </w:r>
            <w:r>
              <w:rPr>
                <w:rFonts w:hint="eastAsia" w:asciiTheme="majorEastAsia" w:hAnsiTheme="majorEastAsia" w:eastAsiaTheme="majorEastAsia" w:cstheme="majorEastAsia"/>
                <w:color w:val="auto"/>
                <w:sz w:val="24"/>
                <w:szCs w:val="24"/>
                <w:highlight w:val="none"/>
                <w:lang w:val="en-US" w:eastAsia="zh-CN"/>
              </w:rPr>
              <w:t>2.5</w:t>
            </w:r>
            <w:r>
              <w:rPr>
                <w:rFonts w:hint="eastAsia" w:asciiTheme="majorEastAsia" w:hAnsiTheme="majorEastAsia" w:eastAsiaTheme="majorEastAsia" w:cstheme="majorEastAsia"/>
                <w:color w:val="auto"/>
                <w:sz w:val="24"/>
                <w:szCs w:val="24"/>
                <w:highlight w:val="none"/>
              </w:rPr>
              <w:t>分</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应急方案阐述简短或方案可操作性一般的得</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分； 未提供或应急方案不合理的本项不得分。</w:t>
            </w:r>
          </w:p>
        </w:tc>
      </w:tr>
    </w:tbl>
    <w:p w14:paraId="23B92C0F">
      <w:pPr>
        <w:spacing w:line="360" w:lineRule="auto"/>
        <w:rPr>
          <w:rFonts w:hint="eastAsia" w:asciiTheme="majorEastAsia" w:hAnsiTheme="majorEastAsia" w:eastAsiaTheme="majorEastAsia" w:cstheme="majorEastAsia"/>
          <w:bCs/>
          <w:color w:val="auto"/>
          <w:sz w:val="24"/>
          <w:szCs w:val="24"/>
          <w:highlight w:val="none"/>
          <w:lang w:val="en-US" w:eastAsia="zh-CN"/>
        </w:rPr>
      </w:pPr>
    </w:p>
    <w:p w14:paraId="72C2F84A">
      <w:pPr>
        <w:spacing w:line="360" w:lineRule="auto"/>
        <w:rPr>
          <w:rFonts w:hint="eastAsia" w:asciiTheme="majorEastAsia" w:hAnsiTheme="majorEastAsia" w:eastAsiaTheme="majorEastAsia" w:cstheme="majorEastAsia"/>
          <w:bCs/>
          <w:color w:val="auto"/>
          <w:sz w:val="24"/>
          <w:szCs w:val="24"/>
          <w:highlight w:val="none"/>
          <w:lang w:val="en-US" w:eastAsia="zh-CN"/>
        </w:rPr>
      </w:pPr>
    </w:p>
    <w:p w14:paraId="64451C53">
      <w:pPr>
        <w:spacing w:line="360" w:lineRule="auto"/>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lang w:val="en-US" w:eastAsia="zh-CN"/>
        </w:rPr>
        <w:t>C</w:t>
      </w:r>
      <w:r>
        <w:rPr>
          <w:rFonts w:hint="eastAsia" w:asciiTheme="majorEastAsia" w:hAnsiTheme="majorEastAsia" w:eastAsiaTheme="majorEastAsia" w:cstheme="majorEastAsia"/>
          <w:bCs/>
          <w:color w:val="auto"/>
          <w:sz w:val="24"/>
          <w:szCs w:val="24"/>
          <w:highlight w:val="none"/>
        </w:rPr>
        <w:t>.商务部分满分为</w:t>
      </w:r>
      <w:r>
        <w:rPr>
          <w:rFonts w:hint="eastAsia" w:asciiTheme="majorEastAsia" w:hAnsiTheme="majorEastAsia" w:eastAsiaTheme="majorEastAsia" w:cstheme="majorEastAsia"/>
          <w:bCs/>
          <w:color w:val="auto"/>
          <w:sz w:val="24"/>
          <w:szCs w:val="24"/>
          <w:highlight w:val="none"/>
          <w:u w:val="single"/>
          <w:lang w:val="en-US" w:eastAsia="zh-CN"/>
        </w:rPr>
        <w:t>21</w:t>
      </w:r>
      <w:r>
        <w:rPr>
          <w:rFonts w:hint="eastAsia" w:asciiTheme="majorEastAsia" w:hAnsiTheme="majorEastAsia" w:eastAsiaTheme="majorEastAsia" w:cstheme="majorEastAsia"/>
          <w:bCs/>
          <w:color w:val="auto"/>
          <w:sz w:val="24"/>
          <w:szCs w:val="24"/>
          <w:highlight w:val="none"/>
        </w:rPr>
        <w:t>分。</w:t>
      </w:r>
    </w:p>
    <w:tbl>
      <w:tblPr>
        <w:tblStyle w:val="22"/>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2"/>
        <w:gridCol w:w="705"/>
        <w:gridCol w:w="7465"/>
      </w:tblGrid>
      <w:tr w14:paraId="7D6C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1352" w:type="dxa"/>
            <w:vAlign w:val="center"/>
          </w:tcPr>
          <w:p w14:paraId="39B3BCB9">
            <w:pPr>
              <w:adjustRightInd/>
              <w:snapToGrid/>
              <w:spacing w:after="0" w:line="480" w:lineRule="exac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评标项目</w:t>
            </w:r>
          </w:p>
        </w:tc>
        <w:tc>
          <w:tcPr>
            <w:tcW w:w="705" w:type="dxa"/>
            <w:vAlign w:val="center"/>
          </w:tcPr>
          <w:p w14:paraId="721DC7BD">
            <w:pPr>
              <w:adjustRightInd/>
              <w:snapToGrid/>
              <w:spacing w:after="0" w:line="480" w:lineRule="exac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评标分值</w:t>
            </w:r>
          </w:p>
        </w:tc>
        <w:tc>
          <w:tcPr>
            <w:tcW w:w="7465" w:type="dxa"/>
            <w:vAlign w:val="center"/>
          </w:tcPr>
          <w:p w14:paraId="6B890C8E">
            <w:pPr>
              <w:adjustRightInd/>
              <w:snapToGrid/>
              <w:spacing w:after="0" w:line="480" w:lineRule="exac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评标方法描述</w:t>
            </w:r>
          </w:p>
        </w:tc>
      </w:tr>
      <w:tr w14:paraId="0DC6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352" w:type="dxa"/>
            <w:vAlign w:val="center"/>
          </w:tcPr>
          <w:p w14:paraId="17555D69">
            <w:pPr>
              <w:adjustRightInd/>
              <w:snapToGrid/>
              <w:spacing w:after="0" w:line="480" w:lineRule="atLeas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项目经验</w:t>
            </w:r>
          </w:p>
        </w:tc>
        <w:tc>
          <w:tcPr>
            <w:tcW w:w="705" w:type="dxa"/>
            <w:vAlign w:val="center"/>
          </w:tcPr>
          <w:p w14:paraId="7CF4415C">
            <w:pPr>
              <w:adjustRightInd/>
              <w:snapToGrid/>
              <w:spacing w:after="0" w:line="480" w:lineRule="atLeast"/>
              <w:jc w:val="left"/>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9</w:t>
            </w:r>
          </w:p>
        </w:tc>
        <w:tc>
          <w:tcPr>
            <w:tcW w:w="7465" w:type="dxa"/>
            <w:vAlign w:val="center"/>
          </w:tcPr>
          <w:p w14:paraId="04D28294">
            <w:pPr>
              <w:adjustRightInd/>
              <w:snapToGrid/>
              <w:spacing w:after="0" w:line="480" w:lineRule="atLeas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根据</w:t>
            </w:r>
            <w:r>
              <w:rPr>
                <w:rFonts w:hint="eastAsia" w:asciiTheme="majorEastAsia" w:hAnsiTheme="majorEastAsia" w:eastAsiaTheme="majorEastAsia" w:cstheme="majorEastAsia"/>
                <w:color w:val="auto"/>
                <w:sz w:val="24"/>
                <w:szCs w:val="24"/>
                <w:highlight w:val="none"/>
                <w:lang w:val="en-US" w:eastAsia="zh-CN"/>
              </w:rPr>
              <w:t>投标人</w:t>
            </w:r>
            <w:r>
              <w:rPr>
                <w:rFonts w:hint="eastAsia" w:asciiTheme="majorEastAsia" w:hAnsiTheme="majorEastAsia" w:eastAsiaTheme="majorEastAsia" w:cstheme="majorEastAsia"/>
                <w:color w:val="auto"/>
                <w:sz w:val="24"/>
                <w:szCs w:val="24"/>
                <w:highlight w:val="none"/>
              </w:rPr>
              <w:t>提供2022年1月1日至本项目响应文件提交截止时间止（以合同签订时间为准）由供应商完成的与本项目类似业绩情况，每提供一项得</w:t>
            </w: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rPr>
              <w:t>分，满分</w:t>
            </w:r>
            <w:r>
              <w:rPr>
                <w:rFonts w:hint="eastAsia" w:asciiTheme="majorEastAsia" w:hAnsiTheme="majorEastAsia" w:eastAsiaTheme="majorEastAsia" w:cstheme="majorEastAsia"/>
                <w:color w:val="auto"/>
                <w:sz w:val="24"/>
                <w:szCs w:val="24"/>
                <w:highlight w:val="none"/>
                <w:lang w:val="en-US" w:eastAsia="zh-CN"/>
              </w:rPr>
              <w:t>9</w:t>
            </w:r>
            <w:r>
              <w:rPr>
                <w:rFonts w:hint="eastAsia" w:asciiTheme="majorEastAsia" w:hAnsiTheme="majorEastAsia" w:eastAsiaTheme="majorEastAsia" w:cstheme="majorEastAsia"/>
                <w:color w:val="auto"/>
                <w:sz w:val="24"/>
                <w:szCs w:val="24"/>
                <w:highlight w:val="none"/>
              </w:rPr>
              <w:t>分。应同时提供中标（成交）公告（提供相关网站中标（成交）公告的下载网页并注明网址）、中标（成交）通知书复印件、采购合同文本复印件以及能够证明该业绩项目已经采购人验收合格的相关证明文件复印件或付款凭证证明材料，未同时提供以上佐证材料本项不得分。</w:t>
            </w:r>
          </w:p>
        </w:tc>
      </w:tr>
      <w:tr w14:paraId="0F09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352" w:type="dxa"/>
            <w:vAlign w:val="center"/>
          </w:tcPr>
          <w:p w14:paraId="4A489BD5">
            <w:pPr>
              <w:adjustRightInd/>
              <w:snapToGrid/>
              <w:spacing w:after="0" w:line="480" w:lineRule="atLeas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实施团队</w:t>
            </w:r>
          </w:p>
        </w:tc>
        <w:tc>
          <w:tcPr>
            <w:tcW w:w="705" w:type="dxa"/>
            <w:vAlign w:val="center"/>
          </w:tcPr>
          <w:p w14:paraId="6659DC4A">
            <w:pPr>
              <w:adjustRightInd/>
              <w:snapToGrid/>
              <w:spacing w:after="0" w:line="480" w:lineRule="atLeast"/>
              <w:jc w:val="left"/>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w:t>
            </w:r>
          </w:p>
        </w:tc>
        <w:tc>
          <w:tcPr>
            <w:tcW w:w="7465" w:type="dxa"/>
            <w:vAlign w:val="center"/>
          </w:tcPr>
          <w:p w14:paraId="41A0AE39">
            <w:pPr>
              <w:adjustRightInd/>
              <w:snapToGrid/>
              <w:spacing w:after="0" w:line="480" w:lineRule="atLeast"/>
              <w:jc w:val="left"/>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投标人</w:t>
            </w:r>
            <w:r>
              <w:rPr>
                <w:rFonts w:hint="eastAsia" w:asciiTheme="majorEastAsia" w:hAnsiTheme="majorEastAsia" w:eastAsiaTheme="majorEastAsia" w:cstheme="majorEastAsia"/>
                <w:color w:val="auto"/>
                <w:sz w:val="24"/>
                <w:szCs w:val="24"/>
                <w:highlight w:val="none"/>
              </w:rPr>
              <w:t>能为本项目提供</w:t>
            </w:r>
            <w:r>
              <w:rPr>
                <w:rFonts w:hint="eastAsia" w:asciiTheme="majorEastAsia" w:hAnsiTheme="majorEastAsia" w:eastAsiaTheme="majorEastAsia" w:cstheme="majorEastAsia"/>
                <w:color w:val="auto"/>
                <w:sz w:val="24"/>
                <w:szCs w:val="24"/>
                <w:highlight w:val="none"/>
                <w:lang w:val="en-US" w:eastAsia="zh-CN"/>
              </w:rPr>
              <w:t>电子</w:t>
            </w:r>
            <w:r>
              <w:rPr>
                <w:rFonts w:hint="eastAsia" w:asciiTheme="majorEastAsia" w:hAnsiTheme="majorEastAsia" w:eastAsiaTheme="majorEastAsia" w:cstheme="majorEastAsia"/>
                <w:color w:val="auto"/>
                <w:sz w:val="24"/>
                <w:szCs w:val="24"/>
                <w:highlight w:val="none"/>
              </w:rPr>
              <w:t>或</w:t>
            </w:r>
            <w:r>
              <w:rPr>
                <w:rFonts w:hint="eastAsia" w:asciiTheme="majorEastAsia" w:hAnsiTheme="majorEastAsia" w:eastAsiaTheme="majorEastAsia" w:cstheme="majorEastAsia"/>
                <w:color w:val="auto"/>
                <w:sz w:val="24"/>
                <w:szCs w:val="24"/>
                <w:highlight w:val="none"/>
                <w:lang w:val="en-US" w:eastAsia="zh-CN"/>
              </w:rPr>
              <w:t>计算机</w:t>
            </w:r>
            <w:r>
              <w:rPr>
                <w:rFonts w:hint="eastAsia" w:asciiTheme="majorEastAsia" w:hAnsiTheme="majorEastAsia" w:eastAsiaTheme="majorEastAsia" w:cstheme="majorEastAsia"/>
                <w:color w:val="auto"/>
                <w:sz w:val="24"/>
                <w:szCs w:val="24"/>
                <w:highlight w:val="none"/>
              </w:rPr>
              <w:t>工程相关专业中级职称证书的技术人员的，每提供一个得</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分，满分</w:t>
            </w:r>
            <w:r>
              <w:rPr>
                <w:rFonts w:hint="eastAsia" w:asciiTheme="majorEastAsia" w:hAnsiTheme="majorEastAsia" w:eastAsiaTheme="majorEastAsia" w:cstheme="majorEastAsia"/>
                <w:color w:val="auto"/>
                <w:sz w:val="24"/>
                <w:szCs w:val="24"/>
                <w:highlight w:val="none"/>
                <w:lang w:val="en-US" w:eastAsia="zh-CN"/>
              </w:rPr>
              <w:t>4</w:t>
            </w:r>
            <w:r>
              <w:rPr>
                <w:rFonts w:hint="eastAsia" w:asciiTheme="majorEastAsia" w:hAnsiTheme="majorEastAsia" w:eastAsiaTheme="majorEastAsia" w:cstheme="majorEastAsia"/>
                <w:color w:val="auto"/>
                <w:sz w:val="24"/>
                <w:szCs w:val="24"/>
                <w:highlight w:val="none"/>
              </w:rPr>
              <w:t>分。须提供有效的证书原件的扫描件以及提交首次响应文件截止时间前六个月（不含提交响应文件截止时间的当月）中任一月份供应商为该人员缴纳的社会保障资金缴纳凭据复印件，未提供、提供不全或不符合要求的均不得分。</w:t>
            </w:r>
          </w:p>
        </w:tc>
      </w:tr>
      <w:tr w14:paraId="2B7D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352" w:type="dxa"/>
            <w:shd w:val="clear" w:color="auto" w:fill="auto"/>
            <w:vAlign w:val="center"/>
          </w:tcPr>
          <w:p w14:paraId="476C9405">
            <w:pPr>
              <w:adjustRightInd/>
              <w:snapToGrid/>
              <w:spacing w:after="0" w:line="480" w:lineRule="atLeast"/>
              <w:jc w:val="left"/>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售后维保期</w:t>
            </w:r>
          </w:p>
        </w:tc>
        <w:tc>
          <w:tcPr>
            <w:tcW w:w="705" w:type="dxa"/>
            <w:shd w:val="clear" w:color="auto" w:fill="auto"/>
            <w:vAlign w:val="center"/>
          </w:tcPr>
          <w:p w14:paraId="352D97EF">
            <w:pPr>
              <w:adjustRightInd/>
              <w:snapToGrid/>
              <w:spacing w:after="0" w:line="480" w:lineRule="atLeast"/>
              <w:jc w:val="left"/>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4</w:t>
            </w:r>
          </w:p>
        </w:tc>
        <w:tc>
          <w:tcPr>
            <w:tcW w:w="7465" w:type="dxa"/>
            <w:shd w:val="clear" w:color="auto" w:fill="auto"/>
            <w:vAlign w:val="center"/>
          </w:tcPr>
          <w:p w14:paraId="3079F20C">
            <w:pPr>
              <w:adjustRightInd/>
              <w:snapToGrid/>
              <w:spacing w:after="0" w:line="480" w:lineRule="atLeast"/>
              <w:jc w:val="left"/>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rPr>
              <w:t>供应商在满足采购文件要求的维保期限的基础上，承诺延长12个月及以上的得</w:t>
            </w:r>
            <w:r>
              <w:rPr>
                <w:rFonts w:hint="eastAsia" w:asciiTheme="majorEastAsia" w:hAnsiTheme="majorEastAsia" w:eastAsiaTheme="majorEastAsia" w:cstheme="majorEastAsia"/>
                <w:color w:val="auto"/>
                <w:sz w:val="24"/>
                <w:szCs w:val="24"/>
                <w:highlight w:val="none"/>
                <w:lang w:val="en-US" w:eastAsia="zh-CN"/>
              </w:rPr>
              <w:t>4</w:t>
            </w:r>
            <w:r>
              <w:rPr>
                <w:rFonts w:hint="eastAsia" w:asciiTheme="majorEastAsia" w:hAnsiTheme="majorEastAsia" w:eastAsiaTheme="majorEastAsia" w:cstheme="majorEastAsia"/>
                <w:color w:val="auto"/>
                <w:sz w:val="24"/>
                <w:szCs w:val="24"/>
                <w:highlight w:val="none"/>
              </w:rPr>
              <w:t>分</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另外承诺延长6个月的得</w:t>
            </w: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分【须提供承诺函，承诺函格式自拟，否则不得分】</w:t>
            </w:r>
          </w:p>
        </w:tc>
      </w:tr>
      <w:tr w14:paraId="5D07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352" w:type="dxa"/>
            <w:shd w:val="clear" w:color="auto" w:fill="auto"/>
            <w:vAlign w:val="center"/>
          </w:tcPr>
          <w:p w14:paraId="4599680A">
            <w:pPr>
              <w:adjustRightInd/>
              <w:snapToGrid/>
              <w:spacing w:after="0" w:line="480" w:lineRule="atLeast"/>
              <w:jc w:val="left"/>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响应速度情况</w:t>
            </w:r>
          </w:p>
        </w:tc>
        <w:tc>
          <w:tcPr>
            <w:tcW w:w="705" w:type="dxa"/>
            <w:shd w:val="clear" w:color="auto" w:fill="auto"/>
            <w:vAlign w:val="center"/>
          </w:tcPr>
          <w:p w14:paraId="4006825F">
            <w:pPr>
              <w:adjustRightInd/>
              <w:snapToGrid/>
              <w:spacing w:after="0" w:line="480" w:lineRule="atLeast"/>
              <w:jc w:val="left"/>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4</w:t>
            </w:r>
          </w:p>
        </w:tc>
        <w:tc>
          <w:tcPr>
            <w:tcW w:w="7465" w:type="dxa"/>
            <w:shd w:val="clear" w:color="auto" w:fill="auto"/>
            <w:vAlign w:val="center"/>
          </w:tcPr>
          <w:p w14:paraId="46A1A034">
            <w:pPr>
              <w:adjustRightInd/>
              <w:snapToGrid/>
              <w:spacing w:after="0" w:line="480" w:lineRule="atLeast"/>
              <w:jc w:val="left"/>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根据各供应商承诺的故障抢修响应时间进行评分：承诺0.5小时内响应、2小时内上门抢修维护的得4分；0.5小时内响应，3小时内上门抢修维护的得2分；0.5小时内响应，4小时内上门抢修维护的得1分；其余情况不得分。【须提供承诺函，承诺函格式自拟，否则不得分】</w:t>
            </w:r>
          </w:p>
        </w:tc>
      </w:tr>
    </w:tbl>
    <w:p w14:paraId="567559B2">
      <w:pPr>
        <w:adjustRightInd/>
        <w:snapToGrid/>
        <w:spacing w:after="0" w:line="480" w:lineRule="atLeast"/>
        <w:jc w:val="center"/>
        <w:rPr>
          <w:rFonts w:hint="eastAsia" w:asciiTheme="majorEastAsia" w:hAnsiTheme="majorEastAsia" w:eastAsiaTheme="majorEastAsia" w:cstheme="majorEastAsia"/>
          <w:sz w:val="24"/>
          <w:szCs w:val="24"/>
          <w:highlight w:val="none"/>
          <w:lang w:val="en-US" w:eastAsia="zh-CN"/>
        </w:rPr>
      </w:pPr>
    </w:p>
    <w:p w14:paraId="2F6F0571">
      <w:pPr>
        <w:spacing w:line="480" w:lineRule="exact"/>
        <w:rPr>
          <w:rFonts w:hint="eastAsia" w:asciiTheme="majorEastAsia" w:hAnsiTheme="majorEastAsia" w:eastAsiaTheme="majorEastAsia" w:cstheme="majorEastAsia"/>
          <w:b/>
          <w:bCs w:val="0"/>
          <w:sz w:val="28"/>
          <w:szCs w:val="28"/>
          <w:highlight w:val="none"/>
          <w:lang w:eastAsia="zh-CN"/>
        </w:rPr>
      </w:pPr>
      <w:r>
        <w:rPr>
          <w:rFonts w:hint="eastAsia" w:asciiTheme="majorEastAsia" w:hAnsiTheme="majorEastAsia" w:eastAsiaTheme="majorEastAsia" w:cstheme="majorEastAsia"/>
          <w:b/>
          <w:bCs w:val="0"/>
          <w:sz w:val="28"/>
          <w:szCs w:val="28"/>
          <w:highlight w:val="none"/>
          <w:lang w:val="en-US" w:eastAsia="zh-CN"/>
        </w:rPr>
        <w:t>其他</w:t>
      </w:r>
      <w:r>
        <w:rPr>
          <w:rFonts w:hint="eastAsia" w:asciiTheme="majorEastAsia" w:hAnsiTheme="majorEastAsia" w:eastAsiaTheme="majorEastAsia" w:cstheme="majorEastAsia"/>
          <w:b/>
          <w:bCs w:val="0"/>
          <w:sz w:val="28"/>
          <w:szCs w:val="28"/>
          <w:highlight w:val="none"/>
          <w:lang w:eastAsia="zh-CN"/>
        </w:rPr>
        <w:t>商务要求：</w:t>
      </w:r>
    </w:p>
    <w:p w14:paraId="6BB0C508">
      <w:pPr>
        <w:pStyle w:val="47"/>
        <w:numPr>
          <w:ilvl w:val="0"/>
          <w:numId w:val="0"/>
        </w:numPr>
        <w:ind w:firstLine="480" w:firstLineChars="200"/>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1</w:t>
      </w:r>
      <w:r>
        <w:rPr>
          <w:rFonts w:hint="eastAsia" w:asciiTheme="majorEastAsia" w:hAnsiTheme="majorEastAsia" w:eastAsiaTheme="majorEastAsia" w:cstheme="majorEastAsia"/>
          <w:color w:val="auto"/>
          <w:sz w:val="24"/>
          <w:szCs w:val="24"/>
          <w:highlight w:val="none"/>
          <w:shd w:val="clear" w:color="auto" w:fill="FFFFFF"/>
        </w:rPr>
        <w:t>、售后服务</w:t>
      </w:r>
    </w:p>
    <w:p w14:paraId="26D5A026">
      <w:pPr>
        <w:pStyle w:val="47"/>
        <w:numPr>
          <w:ilvl w:val="0"/>
          <w:numId w:val="0"/>
        </w:numPr>
        <w:ind w:firstLine="480" w:firstLineChars="200"/>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1</w:t>
      </w:r>
      <w:r>
        <w:rPr>
          <w:rFonts w:hint="eastAsia" w:asciiTheme="majorEastAsia" w:hAnsiTheme="majorEastAsia" w:eastAsiaTheme="majorEastAsia" w:cstheme="majorEastAsia"/>
          <w:color w:val="auto"/>
          <w:sz w:val="24"/>
          <w:szCs w:val="24"/>
          <w:highlight w:val="none"/>
          <w:shd w:val="clear" w:color="auto" w:fill="FFFFFF"/>
        </w:rPr>
        <w:t>.1本项目维保期限为</w:t>
      </w:r>
      <w:r>
        <w:rPr>
          <w:rFonts w:hint="eastAsia" w:asciiTheme="majorEastAsia" w:hAnsiTheme="majorEastAsia" w:eastAsiaTheme="majorEastAsia" w:cstheme="majorEastAsia"/>
          <w:color w:val="auto"/>
          <w:sz w:val="24"/>
          <w:szCs w:val="24"/>
          <w:highlight w:val="none"/>
          <w:shd w:val="clear" w:color="auto" w:fill="FFFFFF"/>
          <w:lang w:val="en-US" w:eastAsia="zh-CN"/>
        </w:rPr>
        <w:t>2</w:t>
      </w:r>
      <w:r>
        <w:rPr>
          <w:rFonts w:hint="eastAsia" w:asciiTheme="majorEastAsia" w:hAnsiTheme="majorEastAsia" w:eastAsiaTheme="majorEastAsia" w:cstheme="majorEastAsia"/>
          <w:color w:val="auto"/>
          <w:sz w:val="24"/>
          <w:szCs w:val="24"/>
          <w:highlight w:val="none"/>
          <w:shd w:val="clear" w:color="auto" w:fill="FFFFFF"/>
        </w:rPr>
        <w:t>年，维保期从验收合格之日算起。成交人应具备相应的维护保养服务能力，对本项目所有设备设施进行最少</w:t>
      </w:r>
      <w:r>
        <w:rPr>
          <w:rFonts w:hint="eastAsia" w:asciiTheme="majorEastAsia" w:hAnsiTheme="majorEastAsia" w:eastAsiaTheme="majorEastAsia" w:cstheme="majorEastAsia"/>
          <w:color w:val="auto"/>
          <w:sz w:val="24"/>
          <w:szCs w:val="24"/>
          <w:highlight w:val="none"/>
          <w:shd w:val="clear" w:color="auto" w:fill="FFFFFF"/>
          <w:lang w:val="en-US" w:eastAsia="zh-CN"/>
        </w:rPr>
        <w:t>1</w:t>
      </w:r>
      <w:r>
        <w:rPr>
          <w:rFonts w:hint="eastAsia" w:asciiTheme="majorEastAsia" w:hAnsiTheme="majorEastAsia" w:eastAsiaTheme="majorEastAsia" w:cstheme="majorEastAsia"/>
          <w:color w:val="auto"/>
          <w:sz w:val="24"/>
          <w:szCs w:val="24"/>
          <w:highlight w:val="none"/>
          <w:shd w:val="clear" w:color="auto" w:fill="FFFFFF"/>
        </w:rPr>
        <w:t>年的免费维护和修理。保修期内，成交人须有属本公司的可随时上门作维修及检测的工程师、维修人员，接到采购人故障报修通知后，响应时间不超过0.5小时，并能在6小时内上门维修。同时，成交方需在24小时内安排专业技术人员（包括负责联系生产厂家技术人员到现场）排除故障或提供备件服务。</w:t>
      </w:r>
    </w:p>
    <w:p w14:paraId="2FEFA871">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1</w:t>
      </w:r>
      <w:r>
        <w:rPr>
          <w:rFonts w:hint="eastAsia" w:asciiTheme="majorEastAsia" w:hAnsiTheme="majorEastAsia" w:eastAsiaTheme="majorEastAsia" w:cstheme="majorEastAsia"/>
          <w:color w:val="auto"/>
          <w:sz w:val="24"/>
          <w:szCs w:val="24"/>
          <w:highlight w:val="none"/>
          <w:shd w:val="clear" w:color="auto" w:fill="FFFFFF"/>
        </w:rPr>
        <w:t>.2维修完成后，由采购人组织验收。</w:t>
      </w:r>
    </w:p>
    <w:p w14:paraId="221FC90A">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2</w:t>
      </w:r>
      <w:r>
        <w:rPr>
          <w:rFonts w:hint="eastAsia" w:asciiTheme="majorEastAsia" w:hAnsiTheme="majorEastAsia" w:eastAsiaTheme="majorEastAsia" w:cstheme="majorEastAsia"/>
          <w:color w:val="auto"/>
          <w:sz w:val="24"/>
          <w:szCs w:val="24"/>
          <w:highlight w:val="none"/>
          <w:shd w:val="clear" w:color="auto" w:fill="FFFFFF"/>
        </w:rPr>
        <w:t>、违约责任</w:t>
      </w:r>
    </w:p>
    <w:p w14:paraId="5F6C501B">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2</w:t>
      </w:r>
      <w:r>
        <w:rPr>
          <w:rFonts w:hint="eastAsia" w:asciiTheme="majorEastAsia" w:hAnsiTheme="majorEastAsia" w:eastAsiaTheme="majorEastAsia" w:cstheme="majorEastAsia"/>
          <w:color w:val="auto"/>
          <w:sz w:val="24"/>
          <w:szCs w:val="24"/>
          <w:highlight w:val="none"/>
          <w:shd w:val="clear" w:color="auto" w:fill="FFFFFF"/>
        </w:rPr>
        <w:t>.1因成交人原因造成采购合同无法按时签订，视为成交人违约，采购人有权按照合同总金额的10%要求成交人承担违约责任。在签定采购合同之后，成交人要求解除合同的，视为成交人违约，采购人有权按照合同总金额的10%要求成交人承担违约责任。</w:t>
      </w:r>
    </w:p>
    <w:p w14:paraId="00BBED45">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2</w:t>
      </w:r>
      <w:r>
        <w:rPr>
          <w:rFonts w:hint="eastAsia" w:asciiTheme="majorEastAsia" w:hAnsiTheme="majorEastAsia" w:eastAsiaTheme="majorEastAsia" w:cstheme="majorEastAsia"/>
          <w:color w:val="auto"/>
          <w:sz w:val="24"/>
          <w:szCs w:val="24"/>
          <w:highlight w:val="none"/>
          <w:shd w:val="clear" w:color="auto" w:fill="FFFFFF"/>
        </w:rPr>
        <w:t>.2因成交人原因发生重大质量事故，除依约承担赔偿责任外，还将按有关质量管理办法规定执行。同时，采购人有权保留更换成交人的权利，并报相关行政主管部门处罚。</w:t>
      </w:r>
    </w:p>
    <w:p w14:paraId="5DE3451D">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2.</w:t>
      </w:r>
      <w:r>
        <w:rPr>
          <w:rFonts w:hint="eastAsia" w:asciiTheme="majorEastAsia" w:hAnsiTheme="majorEastAsia" w:eastAsiaTheme="majorEastAsia" w:cstheme="majorEastAsia"/>
          <w:color w:val="auto"/>
          <w:sz w:val="24"/>
          <w:szCs w:val="24"/>
          <w:highlight w:val="none"/>
          <w:shd w:val="clear" w:color="auto" w:fill="FFFFFF"/>
        </w:rPr>
        <w:t>3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成交人还应承担赔偿责任。</w:t>
      </w:r>
    </w:p>
    <w:p w14:paraId="30E1467F">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2</w:t>
      </w:r>
      <w:r>
        <w:rPr>
          <w:rFonts w:hint="eastAsia" w:asciiTheme="majorEastAsia" w:hAnsiTheme="majorEastAsia" w:eastAsiaTheme="majorEastAsia" w:cstheme="majorEastAsia"/>
          <w:color w:val="auto"/>
          <w:sz w:val="24"/>
          <w:szCs w:val="24"/>
          <w:highlight w:val="none"/>
          <w:shd w:val="clear" w:color="auto" w:fill="FFFFFF"/>
        </w:rPr>
        <w:t>.4在明确违约责任后，成交人应在接到书面通知书起七天内支付违约金、赔偿金等。</w:t>
      </w:r>
    </w:p>
    <w:p w14:paraId="4449B167">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2</w:t>
      </w:r>
      <w:r>
        <w:rPr>
          <w:rFonts w:hint="eastAsia" w:asciiTheme="majorEastAsia" w:hAnsiTheme="majorEastAsia" w:eastAsiaTheme="majorEastAsia" w:cstheme="majorEastAsia"/>
          <w:color w:val="auto"/>
          <w:sz w:val="24"/>
          <w:szCs w:val="24"/>
          <w:highlight w:val="none"/>
          <w:shd w:val="clear" w:color="auto" w:fill="FFFFFF"/>
        </w:rPr>
        <w:t>.5总工期每延误一天，成交人应向采购人支付</w:t>
      </w:r>
      <w:r>
        <w:rPr>
          <w:rFonts w:hint="eastAsia" w:asciiTheme="majorEastAsia" w:hAnsiTheme="majorEastAsia" w:eastAsiaTheme="majorEastAsia" w:cstheme="majorEastAsia"/>
          <w:color w:val="auto"/>
          <w:sz w:val="24"/>
          <w:szCs w:val="24"/>
          <w:highlight w:val="none"/>
          <w:shd w:val="clear" w:color="auto" w:fill="FFFFFF"/>
          <w:lang w:val="en-US" w:eastAsia="zh-CN"/>
        </w:rPr>
        <w:t>500</w:t>
      </w:r>
      <w:r>
        <w:rPr>
          <w:rFonts w:hint="eastAsia" w:asciiTheme="majorEastAsia" w:hAnsiTheme="majorEastAsia" w:eastAsiaTheme="majorEastAsia" w:cstheme="majorEastAsia"/>
          <w:color w:val="auto"/>
          <w:sz w:val="24"/>
          <w:szCs w:val="24"/>
          <w:highlight w:val="none"/>
          <w:shd w:val="clear" w:color="auto" w:fill="FFFFFF"/>
        </w:rPr>
        <w:t>元人民币的违约金，由采购人直接从工程款中扣抵；逾期违约金的限额:合同价款的</w:t>
      </w:r>
      <w:r>
        <w:rPr>
          <w:rFonts w:hint="eastAsia" w:asciiTheme="majorEastAsia" w:hAnsiTheme="majorEastAsia" w:eastAsiaTheme="majorEastAsia" w:cstheme="majorEastAsia"/>
          <w:color w:val="auto"/>
          <w:sz w:val="24"/>
          <w:szCs w:val="24"/>
          <w:highlight w:val="none"/>
          <w:shd w:val="clear" w:color="auto" w:fill="FFFFFF"/>
          <w:lang w:val="en-US" w:eastAsia="zh-CN"/>
        </w:rPr>
        <w:t>10</w:t>
      </w:r>
      <w:r>
        <w:rPr>
          <w:rFonts w:hint="eastAsia" w:asciiTheme="majorEastAsia" w:hAnsiTheme="majorEastAsia" w:eastAsiaTheme="majorEastAsia" w:cstheme="majorEastAsia"/>
          <w:color w:val="auto"/>
          <w:sz w:val="24"/>
          <w:szCs w:val="24"/>
          <w:highlight w:val="none"/>
          <w:shd w:val="clear" w:color="auto" w:fill="FFFFFF"/>
        </w:rPr>
        <w:t>％；逾期超过30天且未经采购人书面同意的，采购人有权解除合同，由此产生的责任全部由成交人负责，造成的损失采购人有权向成交人收取赔偿。</w:t>
      </w:r>
    </w:p>
    <w:p w14:paraId="42A93090">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2</w:t>
      </w:r>
      <w:r>
        <w:rPr>
          <w:rFonts w:hint="eastAsia" w:asciiTheme="majorEastAsia" w:hAnsiTheme="majorEastAsia" w:eastAsiaTheme="majorEastAsia" w:cstheme="majorEastAsia"/>
          <w:color w:val="auto"/>
          <w:sz w:val="24"/>
          <w:szCs w:val="24"/>
          <w:highlight w:val="none"/>
          <w:shd w:val="clear" w:color="auto" w:fill="FFFFFF"/>
        </w:rPr>
        <w:t>.6如果成交人未能按照合同约定履行免费维修义务的（不可抗力除外）或者未按承诺的时间上门抢修维护，每次应向采购人支付违约金2000元。</w:t>
      </w:r>
    </w:p>
    <w:p w14:paraId="7006103B">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2.7</w:t>
      </w:r>
      <w:r>
        <w:rPr>
          <w:rFonts w:hint="eastAsia" w:asciiTheme="majorEastAsia" w:hAnsiTheme="majorEastAsia" w:eastAsiaTheme="majorEastAsia" w:cstheme="majorEastAsia"/>
          <w:color w:val="auto"/>
          <w:sz w:val="24"/>
          <w:szCs w:val="24"/>
          <w:highlight w:val="none"/>
          <w:shd w:val="clear" w:color="auto" w:fill="FFFFFF"/>
        </w:rPr>
        <w:t>合同执行期间，中标供应商不允许以任何名义和理由全部转包或部分分包，如有发现，视为成交人违约，采购人有权单方面解除合同，并按照合同总金额的10%要求乙方承担违约责任。</w:t>
      </w:r>
    </w:p>
    <w:p w14:paraId="035F25E7">
      <w:pPr>
        <w:pStyle w:val="47"/>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2.8</w:t>
      </w:r>
      <w:r>
        <w:rPr>
          <w:rFonts w:hint="eastAsia" w:asciiTheme="majorEastAsia" w:hAnsiTheme="majorEastAsia" w:eastAsiaTheme="majorEastAsia" w:cstheme="majorEastAsia"/>
          <w:color w:val="auto"/>
          <w:sz w:val="24"/>
          <w:szCs w:val="24"/>
          <w:highlight w:val="none"/>
        </w:rPr>
        <w:t>、如成交后提供的产品与</w:t>
      </w:r>
      <w:r>
        <w:rPr>
          <w:rFonts w:hint="eastAsia" w:asciiTheme="majorEastAsia" w:hAnsiTheme="majorEastAsia" w:eastAsiaTheme="majorEastAsia" w:cstheme="majorEastAsia"/>
          <w:color w:val="auto"/>
          <w:sz w:val="24"/>
          <w:szCs w:val="24"/>
          <w:highlight w:val="none"/>
          <w:lang w:val="en-US" w:eastAsia="zh-CN"/>
        </w:rPr>
        <w:t>招标</w:t>
      </w:r>
      <w:r>
        <w:rPr>
          <w:rFonts w:hint="eastAsia" w:asciiTheme="majorEastAsia" w:hAnsiTheme="majorEastAsia" w:eastAsiaTheme="majorEastAsia" w:cstheme="majorEastAsia"/>
          <w:color w:val="auto"/>
          <w:sz w:val="24"/>
          <w:szCs w:val="24"/>
          <w:highlight w:val="none"/>
        </w:rPr>
        <w:t>要求不符，采购人将拒绝验收，由此带来的一切损失将由成交人负责。</w:t>
      </w:r>
    </w:p>
    <w:p w14:paraId="4378918F">
      <w:pPr>
        <w:pStyle w:val="47"/>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2.9、</w:t>
      </w:r>
      <w:r>
        <w:rPr>
          <w:rFonts w:hint="eastAsia" w:asciiTheme="majorEastAsia" w:hAnsiTheme="majorEastAsia" w:eastAsiaTheme="majorEastAsia" w:cstheme="majorEastAsia"/>
          <w:color w:val="auto"/>
          <w:sz w:val="24"/>
          <w:szCs w:val="24"/>
          <w:highlight w:val="none"/>
        </w:rPr>
        <w:t>若成交人动火作业前未向我院保卫科进行申报，或动火作业时未遵守“六个必须”，</w:t>
      </w:r>
      <w:r>
        <w:rPr>
          <w:rFonts w:hint="eastAsia" w:asciiTheme="majorEastAsia" w:hAnsiTheme="majorEastAsia" w:eastAsiaTheme="majorEastAsia" w:cstheme="majorEastAsia"/>
          <w:color w:val="auto"/>
          <w:sz w:val="24"/>
          <w:szCs w:val="24"/>
          <w:highlight w:val="none"/>
          <w:lang w:val="en-US" w:eastAsia="zh-CN"/>
        </w:rPr>
        <w:t>采购人</w:t>
      </w:r>
      <w:r>
        <w:rPr>
          <w:rFonts w:hint="eastAsia" w:asciiTheme="majorEastAsia" w:hAnsiTheme="majorEastAsia" w:eastAsiaTheme="majorEastAsia" w:cstheme="majorEastAsia"/>
          <w:color w:val="auto"/>
          <w:sz w:val="24"/>
          <w:szCs w:val="24"/>
          <w:highlight w:val="none"/>
        </w:rPr>
        <w:t>有权按每次5000元的标准向乙方收取违约金。</w:t>
      </w:r>
    </w:p>
    <w:p w14:paraId="70ACE3CA">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3</w:t>
      </w:r>
      <w:r>
        <w:rPr>
          <w:rFonts w:hint="eastAsia" w:asciiTheme="majorEastAsia" w:hAnsiTheme="majorEastAsia" w:eastAsiaTheme="majorEastAsia" w:cstheme="majorEastAsia"/>
          <w:color w:val="auto"/>
          <w:sz w:val="24"/>
          <w:szCs w:val="24"/>
          <w:highlight w:val="none"/>
          <w:shd w:val="clear" w:color="auto" w:fill="FFFFFF"/>
        </w:rPr>
        <w:t>、不可抗力</w:t>
      </w:r>
    </w:p>
    <w:p w14:paraId="65A022AD">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3</w:t>
      </w:r>
      <w:r>
        <w:rPr>
          <w:rFonts w:hint="eastAsia" w:asciiTheme="majorEastAsia" w:hAnsiTheme="majorEastAsia" w:eastAsiaTheme="majorEastAsia" w:cstheme="majorEastAsia"/>
          <w:color w:val="auto"/>
          <w:sz w:val="24"/>
          <w:szCs w:val="24"/>
          <w:highlight w:val="none"/>
          <w:shd w:val="clear" w:color="auto" w:fill="FFFFFF"/>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63DF879D">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3</w:t>
      </w:r>
      <w:r>
        <w:rPr>
          <w:rFonts w:hint="eastAsia" w:asciiTheme="majorEastAsia" w:hAnsiTheme="majorEastAsia" w:eastAsiaTheme="majorEastAsia" w:cstheme="majorEastAsia"/>
          <w:color w:val="auto"/>
          <w:sz w:val="24"/>
          <w:szCs w:val="24"/>
          <w:highlight w:val="none"/>
          <w:shd w:val="clear" w:color="auto" w:fill="FFFFFF"/>
        </w:rPr>
        <w:t>.2合同中的不可抗力指不能预见、不能避免并不能克服的客观情况。包括但不限于：自然灾害如地震、台风、洪水、火灾；政府行为、法律规定或其适用的变化或者其他任何无法预见、避免或者控制的事件。</w:t>
      </w:r>
    </w:p>
    <w:p w14:paraId="31F902CB">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4</w:t>
      </w:r>
      <w:r>
        <w:rPr>
          <w:rFonts w:hint="eastAsia" w:asciiTheme="majorEastAsia" w:hAnsiTheme="majorEastAsia" w:eastAsiaTheme="majorEastAsia" w:cstheme="majorEastAsia"/>
          <w:color w:val="auto"/>
          <w:sz w:val="24"/>
          <w:szCs w:val="24"/>
          <w:highlight w:val="none"/>
          <w:shd w:val="clear" w:color="auto" w:fill="FFFFFF"/>
        </w:rPr>
        <w:t>、专利权及知识产权</w:t>
      </w:r>
    </w:p>
    <w:p w14:paraId="20DAF216">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rPr>
        <w:t>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供应商应赔偿该损失。</w:t>
      </w:r>
    </w:p>
    <w:p w14:paraId="664749AA">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5</w:t>
      </w:r>
      <w:r>
        <w:rPr>
          <w:rFonts w:hint="eastAsia" w:asciiTheme="majorEastAsia" w:hAnsiTheme="majorEastAsia" w:eastAsiaTheme="majorEastAsia" w:cstheme="majorEastAsia"/>
          <w:color w:val="auto"/>
          <w:sz w:val="24"/>
          <w:szCs w:val="24"/>
          <w:highlight w:val="none"/>
          <w:shd w:val="clear" w:color="auto" w:fill="FFFFFF"/>
        </w:rPr>
        <w:t>、保密要求</w:t>
      </w:r>
    </w:p>
    <w:p w14:paraId="79437DEB">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5</w:t>
      </w:r>
      <w:r>
        <w:rPr>
          <w:rFonts w:hint="eastAsia" w:asciiTheme="majorEastAsia" w:hAnsiTheme="majorEastAsia" w:eastAsiaTheme="majorEastAsia" w:cstheme="majorEastAsia"/>
          <w:color w:val="auto"/>
          <w:sz w:val="24"/>
          <w:szCs w:val="24"/>
          <w:highlight w:val="none"/>
          <w:shd w:val="clear" w:color="auto" w:fill="FFFFFF"/>
        </w:rPr>
        <w:t>.1成交供应商应当对合同的内容、因履行合同或在合同期间知悉的或收到的采购人的财务、技术、产品信息、内部布局、职员资料或其他工作上的文件资料、工作内容等予以保密，不得向合同以外的任何第三方披露，所有解决方案和采集汇总后的数据严禁通过互联网等公共信息网络、普通邮政进行传递，严禁在连接互联网计算机上存储、处理；成交供应商，严格履行保密义务，自愿接受保密审查，不违规记录、存储、复制采购人任何信息，不违规留存采购方任何资料。</w:t>
      </w:r>
    </w:p>
    <w:p w14:paraId="35322394">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5</w:t>
      </w:r>
      <w:r>
        <w:rPr>
          <w:rFonts w:hint="eastAsia" w:asciiTheme="majorEastAsia" w:hAnsiTheme="majorEastAsia" w:eastAsiaTheme="majorEastAsia" w:cstheme="majorEastAsia"/>
          <w:color w:val="auto"/>
          <w:sz w:val="24"/>
          <w:szCs w:val="24"/>
          <w:highlight w:val="none"/>
          <w:shd w:val="clear" w:color="auto" w:fill="FFFFFF"/>
        </w:rPr>
        <w:t>.2成交供应商违反本条约定泄露采购人的涉密信息的，应承担相应的法律责任，造成采购人损失的，并向采购人支付违约金。</w:t>
      </w:r>
    </w:p>
    <w:p w14:paraId="74042FEE">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5</w:t>
      </w:r>
      <w:r>
        <w:rPr>
          <w:rFonts w:hint="eastAsia" w:asciiTheme="majorEastAsia" w:hAnsiTheme="majorEastAsia" w:eastAsiaTheme="majorEastAsia" w:cstheme="majorEastAsia"/>
          <w:color w:val="auto"/>
          <w:sz w:val="24"/>
          <w:szCs w:val="24"/>
          <w:highlight w:val="none"/>
          <w:shd w:val="clear" w:color="auto" w:fill="FFFFFF"/>
        </w:rPr>
        <w:t>.3本条款不因合同届满或解除而失效。</w:t>
      </w:r>
    </w:p>
    <w:p w14:paraId="3AA11AAA">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lang w:val="en-US" w:eastAsia="zh-CN"/>
        </w:rPr>
        <w:t>6</w:t>
      </w:r>
      <w:r>
        <w:rPr>
          <w:rFonts w:hint="eastAsia" w:asciiTheme="majorEastAsia" w:hAnsiTheme="majorEastAsia" w:eastAsiaTheme="majorEastAsia" w:cstheme="majorEastAsia"/>
          <w:color w:val="auto"/>
          <w:sz w:val="24"/>
          <w:szCs w:val="24"/>
          <w:highlight w:val="none"/>
          <w:shd w:val="clear" w:color="auto" w:fill="FFFFFF"/>
        </w:rPr>
        <w:t>、仲裁、诉讼条款</w:t>
      </w:r>
    </w:p>
    <w:p w14:paraId="4450EFEA">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rPr>
        <w:t>因采购或与采购合同有关的一切事项发生争议，由采购人和成交人双方友好协商解决。协商不成的，任何一方均可选择以下方式解决：</w:t>
      </w:r>
    </w:p>
    <w:p w14:paraId="15049514">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rPr>
        <w:t>①向(采购人所在地)仲裁委员会申请仲裁；</w:t>
      </w:r>
    </w:p>
    <w:p w14:paraId="69191D9E">
      <w:pPr>
        <w:pStyle w:val="47"/>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color w:val="auto"/>
          <w:sz w:val="24"/>
          <w:szCs w:val="24"/>
          <w:highlight w:val="none"/>
          <w:shd w:val="clear" w:color="auto" w:fill="FFFFFF"/>
        </w:rPr>
      </w:pPr>
      <w:r>
        <w:rPr>
          <w:rFonts w:hint="eastAsia" w:asciiTheme="majorEastAsia" w:hAnsiTheme="majorEastAsia" w:eastAsiaTheme="majorEastAsia" w:cstheme="majorEastAsia"/>
          <w:color w:val="auto"/>
          <w:sz w:val="24"/>
          <w:szCs w:val="24"/>
          <w:highlight w:val="none"/>
          <w:shd w:val="clear" w:color="auto" w:fill="FFFFFF"/>
        </w:rPr>
        <w:t>②向(采购人所在地）有管辖权的人民法院提起诉讼。</w:t>
      </w:r>
    </w:p>
    <w:p w14:paraId="5573EB12">
      <w:pPr>
        <w:pStyle w:val="47"/>
        <w:widowControl w:val="0"/>
        <w:jc w:val="both"/>
        <w:rPr>
          <w:rFonts w:hint="eastAsia" w:ascii="宋体" w:hAnsi="宋体" w:cs="宋体"/>
          <w:b/>
          <w:bCs/>
          <w:color w:val="000000"/>
          <w:sz w:val="28"/>
          <w:szCs w:val="28"/>
          <w:lang w:val="en-US" w:eastAsia="zh-CN"/>
        </w:rPr>
      </w:pPr>
    </w:p>
    <w:p w14:paraId="2E3AD04B">
      <w:pPr>
        <w:pStyle w:val="47"/>
        <w:widowControl w:val="0"/>
        <w:jc w:val="both"/>
        <w:rPr>
          <w:rFonts w:hint="eastAsia" w:ascii="宋体" w:hAnsi="宋体" w:cs="宋体"/>
          <w:b/>
          <w:bCs/>
          <w:color w:val="000000"/>
          <w:sz w:val="28"/>
          <w:szCs w:val="28"/>
          <w:lang w:val="en-US" w:eastAsia="zh-CN"/>
        </w:rPr>
      </w:pPr>
    </w:p>
    <w:p w14:paraId="07FD51E6">
      <w:pPr>
        <w:rPr>
          <w:rFonts w:ascii="仿宋_GB2312" w:hAnsi="仿宋_GB2312" w:eastAsia="仿宋_GB2312" w:cs="仿宋_GB2312"/>
          <w:bCs/>
          <w:sz w:val="28"/>
          <w:szCs w:val="28"/>
        </w:rPr>
      </w:pPr>
      <w:r>
        <w:rPr>
          <w:rFonts w:hint="eastAsia" w:ascii="宋体" w:hAnsi="宋体" w:cs="宋体"/>
          <w:b/>
          <w:bCs/>
          <w:color w:val="000000"/>
          <w:sz w:val="28"/>
          <w:szCs w:val="28"/>
          <w:lang w:val="en-US" w:eastAsia="zh-CN"/>
        </w:rPr>
        <w:br w:type="page"/>
      </w:r>
    </w:p>
    <w:p w14:paraId="599B368F">
      <w:pPr>
        <w:pStyle w:val="12"/>
        <w:ind w:firstLine="0"/>
        <w:jc w:val="center"/>
      </w:pPr>
      <w:r>
        <w:rPr>
          <w:rFonts w:hint="eastAsia"/>
          <w:b/>
          <w:sz w:val="28"/>
          <w:szCs w:val="28"/>
        </w:rPr>
        <w:t>一、投标书</w:t>
      </w:r>
    </w:p>
    <w:p w14:paraId="12DEB983">
      <w:pPr>
        <w:rPr>
          <w:rFonts w:ascii="仿宋_GB2312" w:eastAsia="仿宋_GB2312"/>
          <w:sz w:val="28"/>
          <w:szCs w:val="28"/>
        </w:rPr>
      </w:pPr>
      <w:r>
        <w:rPr>
          <w:rFonts w:hint="eastAsia" w:ascii="仿宋_GB2312" w:eastAsia="仿宋_GB2312"/>
          <w:sz w:val="28"/>
          <w:szCs w:val="28"/>
        </w:rPr>
        <w:t>致：福建省肿瘤医院</w:t>
      </w:r>
    </w:p>
    <w:p w14:paraId="3D3876B5">
      <w:pPr>
        <w:rPr>
          <w:rFonts w:ascii="仿宋_GB2312" w:eastAsia="仿宋_GB2312"/>
          <w:sz w:val="28"/>
          <w:szCs w:val="28"/>
        </w:rPr>
      </w:pPr>
      <w:r>
        <w:rPr>
          <w:rFonts w:hint="eastAsia" w:ascii="仿宋_GB2312" w:eastAsia="仿宋_GB2312"/>
          <w:sz w:val="28"/>
          <w:szCs w:val="28"/>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仿宋_GB2312" w:eastAsia="仿宋_GB2312"/>
          <w:b/>
          <w:sz w:val="28"/>
          <w:szCs w:val="28"/>
          <w:u w:val="single"/>
        </w:rPr>
        <w:t xml:space="preserve">：      </w:t>
      </w:r>
      <w:r>
        <w:rPr>
          <w:rFonts w:hint="eastAsia" w:ascii="仿宋_GB2312" w:eastAsia="仿宋_GB2312"/>
          <w:sz w:val="28"/>
          <w:szCs w:val="28"/>
          <w:u w:val="single"/>
        </w:rPr>
        <w:t xml:space="preserve">  （小写：           ）</w:t>
      </w:r>
      <w:r>
        <w:rPr>
          <w:rFonts w:hint="eastAsia" w:ascii="仿宋_GB2312" w:eastAsia="仿宋_GB2312"/>
          <w:sz w:val="28"/>
          <w:szCs w:val="28"/>
        </w:rPr>
        <w:t>的投标报价并按上述条款、标准要求承包上述项目，并承担任何质量缺陷保修责任。</w:t>
      </w:r>
    </w:p>
    <w:p w14:paraId="6C0CD708">
      <w:pPr>
        <w:ind w:firstLine="532" w:firstLineChars="190"/>
        <w:rPr>
          <w:rFonts w:ascii="仿宋_GB2312" w:eastAsia="仿宋_GB2312"/>
          <w:sz w:val="28"/>
          <w:szCs w:val="28"/>
        </w:rPr>
      </w:pPr>
      <w:r>
        <w:rPr>
          <w:rFonts w:hint="eastAsia" w:ascii="仿宋_GB2312" w:eastAsia="仿宋_GB2312"/>
          <w:sz w:val="28"/>
          <w:szCs w:val="28"/>
        </w:rPr>
        <w:t>2、我方已详细审核全部招标文件及有关附件。</w:t>
      </w:r>
    </w:p>
    <w:p w14:paraId="2E606C00">
      <w:pPr>
        <w:ind w:firstLine="532" w:firstLineChars="190"/>
        <w:rPr>
          <w:rFonts w:ascii="仿宋_GB2312" w:eastAsia="仿宋_GB2312"/>
          <w:sz w:val="28"/>
          <w:szCs w:val="28"/>
        </w:rPr>
      </w:pPr>
      <w:r>
        <w:rPr>
          <w:rFonts w:hint="eastAsia" w:ascii="仿宋_GB2312" w:eastAsia="仿宋_GB2312"/>
          <w:sz w:val="28"/>
          <w:szCs w:val="28"/>
        </w:rPr>
        <w:t>3、一旦我方中标，我方保证质量达到</w:t>
      </w:r>
      <w:r>
        <w:rPr>
          <w:rFonts w:hint="eastAsia" w:ascii="仿宋_GB2312" w:eastAsia="仿宋_GB2312"/>
          <w:b/>
          <w:sz w:val="28"/>
          <w:szCs w:val="28"/>
          <w:u w:val="single"/>
        </w:rPr>
        <w:t>投标须知、投标文件等规定</w:t>
      </w:r>
      <w:r>
        <w:rPr>
          <w:rFonts w:hint="eastAsia" w:ascii="仿宋_GB2312" w:eastAsia="仿宋_GB2312"/>
          <w:sz w:val="28"/>
          <w:szCs w:val="28"/>
        </w:rPr>
        <w:t>标准。</w:t>
      </w:r>
    </w:p>
    <w:p w14:paraId="0566D7B7">
      <w:pPr>
        <w:ind w:firstLine="532" w:firstLineChars="190"/>
        <w:rPr>
          <w:rFonts w:ascii="仿宋_GB2312" w:eastAsia="仿宋_GB2312"/>
          <w:sz w:val="28"/>
          <w:szCs w:val="28"/>
        </w:rPr>
      </w:pPr>
      <w:r>
        <w:rPr>
          <w:rFonts w:hint="eastAsia" w:ascii="仿宋_GB2312" w:eastAsia="仿宋_GB2312"/>
          <w:sz w:val="28"/>
          <w:szCs w:val="28"/>
        </w:rPr>
        <w:t>4、我方同意所提交的投标文件在招标文件的投标须知中规定的投标有效期内有效，在此期间内如果中标，我方将受此约束。</w:t>
      </w:r>
    </w:p>
    <w:p w14:paraId="6A300386">
      <w:pPr>
        <w:ind w:firstLine="426"/>
        <w:rPr>
          <w:rFonts w:ascii="仿宋_GB2312" w:eastAsia="仿宋_GB2312"/>
          <w:sz w:val="28"/>
          <w:szCs w:val="28"/>
        </w:rPr>
      </w:pPr>
      <w:r>
        <w:rPr>
          <w:rFonts w:hint="eastAsia" w:ascii="仿宋_GB2312" w:eastAsia="仿宋_GB2312"/>
          <w:sz w:val="28"/>
          <w:szCs w:val="28"/>
        </w:rPr>
        <w:t>5、除非另外达成协议并生效，你方的中标通知书和本投标文件将成为约束双方的合同文件的组成部分。</w:t>
      </w:r>
    </w:p>
    <w:p w14:paraId="0FF6385F">
      <w:pPr>
        <w:ind w:firstLine="560" w:firstLineChars="200"/>
        <w:rPr>
          <w:rFonts w:ascii="仿宋_GB2312" w:eastAsia="仿宋_GB2312"/>
          <w:sz w:val="28"/>
          <w:szCs w:val="28"/>
        </w:rPr>
      </w:pPr>
      <w:r>
        <w:rPr>
          <w:rFonts w:hint="eastAsia" w:ascii="仿宋_GB2312" w:eastAsia="仿宋_GB2312"/>
          <w:sz w:val="28"/>
          <w:szCs w:val="28"/>
        </w:rPr>
        <w:t>附件：报价清单</w:t>
      </w:r>
    </w:p>
    <w:p w14:paraId="2ED56127">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投标人（盖章）： </w:t>
      </w:r>
    </w:p>
    <w:p w14:paraId="235074F6">
      <w:pPr>
        <w:spacing w:line="360" w:lineRule="exact"/>
        <w:rPr>
          <w:rFonts w:ascii="仿宋_GB2312" w:eastAsia="仿宋_GB2312"/>
          <w:sz w:val="28"/>
          <w:szCs w:val="28"/>
        </w:rPr>
      </w:pPr>
    </w:p>
    <w:p w14:paraId="45BB8924">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单位地址： </w:t>
      </w:r>
    </w:p>
    <w:p w14:paraId="48F5A7EB">
      <w:pPr>
        <w:spacing w:line="360" w:lineRule="exact"/>
        <w:rPr>
          <w:rFonts w:ascii="仿宋_GB2312" w:eastAsia="仿宋_GB2312"/>
          <w:sz w:val="28"/>
          <w:szCs w:val="28"/>
        </w:rPr>
      </w:pPr>
    </w:p>
    <w:p w14:paraId="75ADA54B">
      <w:pPr>
        <w:spacing w:line="360" w:lineRule="exact"/>
        <w:ind w:firstLine="3220" w:firstLineChars="1150"/>
        <w:rPr>
          <w:rFonts w:ascii="仿宋_GB2312" w:eastAsia="仿宋_GB2312"/>
          <w:sz w:val="28"/>
          <w:szCs w:val="28"/>
        </w:rPr>
      </w:pPr>
      <w:r>
        <w:rPr>
          <w:rFonts w:hint="eastAsia" w:ascii="仿宋_GB2312" w:eastAsia="仿宋_GB2312"/>
          <w:sz w:val="28"/>
          <w:szCs w:val="28"/>
        </w:rPr>
        <w:t>法定代表人（签字或盖章）：</w:t>
      </w:r>
    </w:p>
    <w:p w14:paraId="120F096C">
      <w:pPr>
        <w:spacing w:line="360" w:lineRule="exact"/>
        <w:rPr>
          <w:rFonts w:ascii="仿宋_GB2312" w:eastAsia="仿宋_GB2312"/>
          <w:sz w:val="28"/>
          <w:szCs w:val="28"/>
        </w:rPr>
      </w:pPr>
    </w:p>
    <w:p w14:paraId="4E89A71F">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邮政编码：         </w:t>
      </w:r>
    </w:p>
    <w:p w14:paraId="733AD6A8">
      <w:pPr>
        <w:spacing w:line="360" w:lineRule="exact"/>
        <w:ind w:firstLine="3220" w:firstLineChars="1150"/>
        <w:rPr>
          <w:rFonts w:ascii="仿宋_GB2312" w:eastAsia="仿宋_GB2312"/>
          <w:sz w:val="28"/>
          <w:szCs w:val="28"/>
        </w:rPr>
      </w:pPr>
    </w:p>
    <w:p w14:paraId="56E80004">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电话：       </w:t>
      </w:r>
    </w:p>
    <w:p w14:paraId="3F595195">
      <w:pPr>
        <w:spacing w:line="360" w:lineRule="exact"/>
        <w:ind w:firstLine="3220" w:firstLineChars="1150"/>
        <w:rPr>
          <w:rFonts w:ascii="仿宋_GB2312" w:eastAsia="仿宋_GB2312"/>
          <w:sz w:val="28"/>
          <w:szCs w:val="28"/>
        </w:rPr>
      </w:pPr>
    </w:p>
    <w:p w14:paraId="0BC6FDA9">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传真：  </w:t>
      </w:r>
    </w:p>
    <w:p w14:paraId="780C87AF">
      <w:pPr>
        <w:spacing w:line="360" w:lineRule="exact"/>
        <w:rPr>
          <w:rFonts w:ascii="仿宋_GB2312" w:eastAsia="仿宋_GB2312"/>
          <w:sz w:val="28"/>
          <w:szCs w:val="28"/>
        </w:rPr>
      </w:pPr>
    </w:p>
    <w:p w14:paraId="57E47FC1">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开户银行名称： </w:t>
      </w:r>
    </w:p>
    <w:p w14:paraId="044BAADD">
      <w:pPr>
        <w:spacing w:line="360" w:lineRule="exact"/>
        <w:rPr>
          <w:rFonts w:ascii="仿宋_GB2312" w:eastAsia="仿宋_GB2312"/>
          <w:sz w:val="28"/>
          <w:szCs w:val="28"/>
        </w:rPr>
      </w:pPr>
    </w:p>
    <w:p w14:paraId="61EA8A55">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开户银行帐号： </w:t>
      </w:r>
    </w:p>
    <w:p w14:paraId="0827E3F0">
      <w:pPr>
        <w:spacing w:line="360" w:lineRule="exact"/>
        <w:rPr>
          <w:rFonts w:ascii="仿宋_GB2312" w:eastAsia="仿宋_GB2312"/>
          <w:sz w:val="28"/>
          <w:szCs w:val="28"/>
        </w:rPr>
      </w:pPr>
    </w:p>
    <w:p w14:paraId="1BE3FB2A">
      <w:pPr>
        <w:spacing w:line="360" w:lineRule="exact"/>
        <w:jc w:val="center"/>
        <w:rPr>
          <w:rFonts w:ascii="仿宋_GB2312" w:eastAsia="仿宋_GB2312"/>
          <w:sz w:val="28"/>
          <w:szCs w:val="28"/>
        </w:rPr>
      </w:pPr>
      <w:r>
        <w:rPr>
          <w:rFonts w:hint="eastAsia" w:ascii="仿宋_GB2312" w:eastAsia="仿宋_GB2312"/>
          <w:sz w:val="28"/>
          <w:szCs w:val="28"/>
        </w:rPr>
        <w:t>开户银行地址：</w:t>
      </w:r>
    </w:p>
    <w:p w14:paraId="5F5D7754">
      <w:pPr>
        <w:spacing w:line="360" w:lineRule="exact"/>
        <w:rPr>
          <w:rFonts w:ascii="仿宋_GB2312" w:eastAsia="仿宋_GB2312"/>
          <w:sz w:val="28"/>
          <w:szCs w:val="28"/>
        </w:rPr>
      </w:pPr>
    </w:p>
    <w:p w14:paraId="1134FCBC">
      <w:pPr>
        <w:spacing w:line="360" w:lineRule="exact"/>
        <w:ind w:firstLine="3220" w:firstLineChars="1150"/>
        <w:rPr>
          <w:rFonts w:ascii="仿宋_GB2312" w:eastAsia="仿宋_GB2312"/>
          <w:sz w:val="28"/>
          <w:szCs w:val="28"/>
        </w:rPr>
      </w:pPr>
      <w:r>
        <w:rPr>
          <w:rFonts w:hint="eastAsia" w:ascii="仿宋_GB2312" w:eastAsia="仿宋_GB2312"/>
          <w:sz w:val="28"/>
          <w:szCs w:val="28"/>
        </w:rPr>
        <w:t xml:space="preserve">开户银行电话： </w:t>
      </w:r>
    </w:p>
    <w:p w14:paraId="04A5E92A">
      <w:pPr>
        <w:spacing w:line="360" w:lineRule="exact"/>
        <w:ind w:firstLine="600"/>
        <w:rPr>
          <w:rFonts w:ascii="仿宋_GB2312" w:eastAsia="仿宋_GB2312"/>
          <w:sz w:val="28"/>
          <w:szCs w:val="28"/>
        </w:rPr>
      </w:pPr>
    </w:p>
    <w:p w14:paraId="0385D79A">
      <w:pPr>
        <w:spacing w:line="360" w:lineRule="exact"/>
        <w:jc w:val="right"/>
        <w:rPr>
          <w:rFonts w:ascii="仿宋_GB2312" w:eastAsia="仿宋_GB2312"/>
          <w:sz w:val="28"/>
          <w:szCs w:val="28"/>
        </w:rPr>
      </w:pPr>
      <w:r>
        <w:rPr>
          <w:rFonts w:hint="eastAsia" w:ascii="仿宋_GB2312" w:eastAsia="仿宋_GB2312"/>
          <w:sz w:val="28"/>
          <w:szCs w:val="28"/>
        </w:rPr>
        <w:t>日期：   年   月    日</w:t>
      </w:r>
    </w:p>
    <w:p w14:paraId="0A938905">
      <w:pPr>
        <w:rPr>
          <w:rFonts w:ascii="仿宋_GB2312" w:eastAsia="仿宋_GB2312"/>
          <w:sz w:val="28"/>
          <w:szCs w:val="28"/>
        </w:rPr>
      </w:pPr>
    </w:p>
    <w:p w14:paraId="26DD182C">
      <w:pPr>
        <w:rPr>
          <w:rFonts w:ascii="仿宋_GB2312" w:eastAsia="仿宋_GB2312"/>
          <w:sz w:val="28"/>
          <w:szCs w:val="28"/>
        </w:rPr>
      </w:pPr>
      <w:r>
        <w:rPr>
          <w:rFonts w:hint="eastAsia" w:ascii="仿宋_GB2312" w:eastAsia="仿宋_GB2312"/>
          <w:sz w:val="28"/>
          <w:szCs w:val="28"/>
        </w:rPr>
        <w:t>附件：投标报价清单</w:t>
      </w:r>
    </w:p>
    <w:p w14:paraId="05D56EA4">
      <w:pPr>
        <w:rPr>
          <w:sz w:val="28"/>
          <w:szCs w:val="28"/>
        </w:rPr>
      </w:pPr>
    </w:p>
    <w:tbl>
      <w:tblPr>
        <w:tblStyle w:val="22"/>
        <w:tblW w:w="0" w:type="auto"/>
        <w:jc w:val="center"/>
        <w:tblLayout w:type="fixed"/>
        <w:tblCellMar>
          <w:top w:w="0" w:type="dxa"/>
          <w:left w:w="108" w:type="dxa"/>
          <w:bottom w:w="0" w:type="dxa"/>
          <w:right w:w="108" w:type="dxa"/>
        </w:tblCellMar>
      </w:tblPr>
      <w:tblGrid>
        <w:gridCol w:w="629"/>
        <w:gridCol w:w="4399"/>
        <w:gridCol w:w="1417"/>
        <w:gridCol w:w="1440"/>
      </w:tblGrid>
      <w:tr w14:paraId="1EF7E525">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vAlign w:val="center"/>
          </w:tcPr>
          <w:p w14:paraId="5EB1ACB2">
            <w:pPr>
              <w:jc w:val="center"/>
              <w:rPr>
                <w:rFonts w:ascii="宋体" w:hAnsi="宋体" w:eastAsia="仿宋_GB2312" w:cs="Arial"/>
                <w:sz w:val="28"/>
                <w:szCs w:val="28"/>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vAlign w:val="center"/>
          </w:tcPr>
          <w:p w14:paraId="68659273">
            <w:pPr>
              <w:jc w:val="center"/>
              <w:rPr>
                <w:rFonts w:ascii="宋体" w:hAnsi="宋体" w:eastAsia="仿宋_GB2312" w:cs="Arial"/>
                <w:sz w:val="28"/>
                <w:szCs w:val="28"/>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vAlign w:val="center"/>
          </w:tcPr>
          <w:p w14:paraId="44A0B9C8">
            <w:pPr>
              <w:jc w:val="center"/>
              <w:rPr>
                <w:rFonts w:ascii="宋体" w:hAnsi="宋体" w:eastAsia="仿宋_GB2312" w:cs="Arial"/>
                <w:sz w:val="28"/>
                <w:szCs w:val="28"/>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vAlign w:val="center"/>
          </w:tcPr>
          <w:p w14:paraId="4E39AE0F">
            <w:pPr>
              <w:jc w:val="center"/>
              <w:rPr>
                <w:rFonts w:ascii="宋体" w:hAnsi="宋体" w:eastAsia="仿宋_GB2312" w:cs="Arial"/>
                <w:sz w:val="28"/>
                <w:szCs w:val="28"/>
              </w:rPr>
            </w:pPr>
          </w:p>
        </w:tc>
      </w:tr>
      <w:tr w14:paraId="12D3CF38">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219F5E11">
            <w:pPr>
              <w:jc w:val="center"/>
              <w:rPr>
                <w:rFonts w:ascii="宋体" w:hAnsi="宋体" w:eastAsia="仿宋_GB2312" w:cs="Arial"/>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40B1F943">
            <w:pPr>
              <w:pStyle w:val="18"/>
              <w:shd w:val="clear" w:color="auto" w:fill="FFFFFF"/>
              <w:spacing w:line="304" w:lineRule="atLeast"/>
              <w:rPr>
                <w:rFonts w:ascii="仿宋_GB2312" w:hAnsi="inherit" w:eastAsia="仿宋_GB2312" w:cs="宋体"/>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7B9FD55B">
            <w:pPr>
              <w:jc w:val="center"/>
              <w:rPr>
                <w:rFonts w:ascii="宋体" w:hAnsi="宋体" w:eastAsia="仿宋_GB2312" w:cs="Arial"/>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0A405FCD">
            <w:pPr>
              <w:jc w:val="center"/>
              <w:rPr>
                <w:rFonts w:ascii="宋体" w:hAnsi="宋体" w:eastAsia="仿宋_GB2312" w:cs="Arial"/>
                <w:sz w:val="28"/>
                <w:szCs w:val="28"/>
              </w:rPr>
            </w:pPr>
          </w:p>
        </w:tc>
      </w:tr>
      <w:tr w14:paraId="4DBE294C">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2BA5FA58">
            <w:pPr>
              <w:jc w:val="center"/>
              <w:rPr>
                <w:rFonts w:ascii="宋体" w:hAnsi="宋体" w:eastAsia="仿宋_GB2312" w:cs="Arial"/>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54764CDD">
            <w:pPr>
              <w:pStyle w:val="18"/>
              <w:shd w:val="clear" w:color="auto" w:fill="FFFFFF"/>
              <w:spacing w:line="304" w:lineRule="atLeast"/>
              <w:rPr>
                <w:rFonts w:ascii="仿宋_GB2312" w:hAnsi="inherit" w:eastAsia="仿宋_GB2312" w:cs="宋体"/>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54E7C2B1">
            <w:pPr>
              <w:jc w:val="center"/>
              <w:rPr>
                <w:rFonts w:ascii="宋体" w:hAnsi="宋体" w:eastAsia="仿宋_GB2312" w:cs="Arial"/>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0A3EB799">
            <w:pPr>
              <w:jc w:val="center"/>
              <w:rPr>
                <w:rFonts w:ascii="宋体" w:hAnsi="宋体" w:eastAsia="仿宋_GB2312" w:cs="Arial"/>
                <w:sz w:val="28"/>
                <w:szCs w:val="28"/>
              </w:rPr>
            </w:pPr>
          </w:p>
        </w:tc>
      </w:tr>
    </w:tbl>
    <w:p w14:paraId="15B80DAA">
      <w:pPr>
        <w:jc w:val="center"/>
        <w:rPr>
          <w:sz w:val="28"/>
          <w:szCs w:val="28"/>
        </w:rPr>
      </w:pPr>
    </w:p>
    <w:p w14:paraId="0089226A">
      <w:pPr>
        <w:jc w:val="center"/>
        <w:rPr>
          <w:b/>
          <w:sz w:val="28"/>
          <w:szCs w:val="28"/>
        </w:rPr>
      </w:pPr>
      <w:r>
        <w:rPr>
          <w:rFonts w:hint="eastAsia"/>
          <w:b/>
          <w:sz w:val="28"/>
          <w:szCs w:val="28"/>
        </w:rPr>
        <w:t>二、投标委托代表人资格证明书</w:t>
      </w:r>
    </w:p>
    <w:p w14:paraId="55E0DA4C">
      <w:pPr>
        <w:rPr>
          <w:sz w:val="28"/>
          <w:szCs w:val="28"/>
        </w:rPr>
      </w:pPr>
    </w:p>
    <w:p w14:paraId="6B7C97CE">
      <w:pPr>
        <w:spacing w:line="360" w:lineRule="auto"/>
        <w:rPr>
          <w:rFonts w:ascii="仿宋_GB2312" w:eastAsia="仿宋_GB2312"/>
          <w:sz w:val="28"/>
          <w:szCs w:val="28"/>
          <w:u w:val="single"/>
        </w:rPr>
      </w:pPr>
      <w:r>
        <w:rPr>
          <w:rFonts w:hint="eastAsia" w:ascii="仿宋_GB2312" w:eastAsia="仿宋_GB2312"/>
          <w:sz w:val="28"/>
          <w:szCs w:val="28"/>
        </w:rPr>
        <w:t>单位名称：</w:t>
      </w:r>
    </w:p>
    <w:p w14:paraId="527D25B7">
      <w:pPr>
        <w:spacing w:line="360" w:lineRule="auto"/>
        <w:rPr>
          <w:rFonts w:ascii="仿宋_GB2312" w:eastAsia="仿宋_GB2312"/>
          <w:sz w:val="28"/>
          <w:szCs w:val="28"/>
          <w:u w:val="single"/>
        </w:rPr>
      </w:pPr>
      <w:r>
        <w:rPr>
          <w:rFonts w:hint="eastAsia" w:ascii="仿宋_GB2312" w:eastAsia="仿宋_GB2312"/>
          <w:sz w:val="28"/>
          <w:szCs w:val="28"/>
        </w:rPr>
        <w:t>地址：</w:t>
      </w:r>
    </w:p>
    <w:p w14:paraId="165C47AA">
      <w:pPr>
        <w:spacing w:line="360" w:lineRule="auto"/>
        <w:rPr>
          <w:rFonts w:ascii="仿宋_GB2312" w:eastAsia="仿宋_GB2312"/>
          <w:sz w:val="28"/>
          <w:szCs w:val="28"/>
        </w:rPr>
      </w:pPr>
      <w:r>
        <w:rPr>
          <w:rFonts w:hint="eastAsia" w:ascii="仿宋_GB2312" w:eastAsia="仿宋_GB2312"/>
          <w:sz w:val="28"/>
          <w:szCs w:val="28"/>
        </w:rPr>
        <w:t>姓名：    性别：年龄：  职务：   系委托代表人。为施工、竣工和保修项目，签署上述项目的投标文件、进行合同谈判、签署合同和处理与之有关的一切事务。</w:t>
      </w:r>
    </w:p>
    <w:p w14:paraId="1D1239CF">
      <w:pPr>
        <w:spacing w:line="360" w:lineRule="auto"/>
        <w:rPr>
          <w:rFonts w:ascii="仿宋_GB2312" w:eastAsia="仿宋_GB2312"/>
          <w:sz w:val="28"/>
          <w:szCs w:val="28"/>
        </w:rPr>
      </w:pPr>
    </w:p>
    <w:p w14:paraId="145CC6E9">
      <w:pPr>
        <w:spacing w:line="360" w:lineRule="auto"/>
        <w:ind w:firstLine="5460" w:firstLineChars="1950"/>
        <w:rPr>
          <w:rFonts w:ascii="仿宋_GB2312" w:eastAsia="仿宋_GB2312"/>
          <w:sz w:val="28"/>
          <w:szCs w:val="28"/>
        </w:rPr>
      </w:pPr>
      <w:r>
        <w:rPr>
          <w:rFonts w:hint="eastAsia" w:ascii="仿宋_GB2312" w:eastAsia="仿宋_GB2312"/>
          <w:sz w:val="28"/>
          <w:szCs w:val="28"/>
        </w:rPr>
        <w:t xml:space="preserve">投标人（盖章）：   </w:t>
      </w:r>
    </w:p>
    <w:p w14:paraId="4B644C97">
      <w:pPr>
        <w:spacing w:line="360" w:lineRule="auto"/>
        <w:ind w:firstLine="5740" w:firstLineChars="2050"/>
        <w:rPr>
          <w:rFonts w:ascii="仿宋_GB2312" w:eastAsia="仿宋_GB2312"/>
          <w:sz w:val="28"/>
          <w:szCs w:val="28"/>
        </w:rPr>
      </w:pPr>
      <w:r>
        <w:rPr>
          <w:rFonts w:hint="eastAsia" w:ascii="仿宋_GB2312" w:eastAsia="仿宋_GB2312"/>
          <w:sz w:val="28"/>
          <w:szCs w:val="28"/>
        </w:rPr>
        <w:t>年   月  日</w:t>
      </w:r>
    </w:p>
    <w:p w14:paraId="273D6145">
      <w:pPr>
        <w:jc w:val="center"/>
        <w:rPr>
          <w:b/>
          <w:sz w:val="28"/>
          <w:szCs w:val="28"/>
        </w:rPr>
      </w:pPr>
    </w:p>
    <w:p w14:paraId="5D4DD2ED">
      <w:pPr>
        <w:jc w:val="center"/>
        <w:rPr>
          <w:b/>
          <w:sz w:val="28"/>
          <w:szCs w:val="28"/>
        </w:rPr>
      </w:pPr>
    </w:p>
    <w:p w14:paraId="4C934E57">
      <w:pPr>
        <w:jc w:val="center"/>
        <w:rPr>
          <w:b/>
          <w:sz w:val="28"/>
          <w:szCs w:val="28"/>
        </w:rPr>
      </w:pPr>
      <w:r>
        <w:rPr>
          <w:rFonts w:hint="eastAsia"/>
          <w:b/>
          <w:sz w:val="28"/>
          <w:szCs w:val="28"/>
        </w:rPr>
        <w:t>三、投标承诺书</w:t>
      </w:r>
    </w:p>
    <w:p w14:paraId="7A86DCE9">
      <w:pPr>
        <w:tabs>
          <w:tab w:val="left" w:pos="5355"/>
        </w:tabs>
        <w:spacing w:before="100" w:beforeAutospacing="1" w:after="100" w:afterAutospacing="1" w:line="480" w:lineRule="auto"/>
        <w:ind w:firstLine="560" w:firstLineChars="200"/>
        <w:rPr>
          <w:rFonts w:ascii="仿宋_GB2312" w:hAnsi="宋体" w:eastAsia="仿宋_GB2312" w:cs="宋体"/>
          <w:bCs/>
          <w:sz w:val="28"/>
          <w:szCs w:val="28"/>
        </w:rPr>
      </w:pPr>
      <w:r>
        <w:rPr>
          <w:rFonts w:hint="eastAsia" w:ascii="仿宋_GB2312" w:hAnsi="宋体" w:eastAsia="仿宋_GB2312" w:cs="宋体"/>
          <w:bCs/>
          <w:sz w:val="28"/>
          <w:szCs w:val="28"/>
        </w:rPr>
        <w:t>我司承诺对项目的院内公开招标最终确定的综合评定最优结果表示认可，并承诺不会对福建省肿瘤医院在本项目招标过程中的工作模式以及终止本项目招标的可能提出疑议。</w:t>
      </w:r>
    </w:p>
    <w:p w14:paraId="4B2575CB">
      <w:pPr>
        <w:tabs>
          <w:tab w:val="left" w:pos="5355"/>
        </w:tabs>
        <w:spacing w:before="100" w:beforeAutospacing="1" w:after="100" w:afterAutospacing="1" w:line="480" w:lineRule="auto"/>
        <w:ind w:firstLine="560" w:firstLineChars="200"/>
        <w:rPr>
          <w:rFonts w:ascii="仿宋_GB2312" w:hAnsi="宋体" w:eastAsia="仿宋_GB2312" w:cs="宋体"/>
          <w:sz w:val="28"/>
          <w:szCs w:val="28"/>
        </w:rPr>
      </w:pPr>
      <w:r>
        <w:rPr>
          <w:rFonts w:hint="eastAsia" w:ascii="仿宋_GB2312" w:hAnsi="宋体" w:eastAsia="仿宋_GB2312" w:cs="宋体"/>
          <w:bCs/>
          <w:sz w:val="28"/>
          <w:szCs w:val="28"/>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7EDB990D">
      <w:pPr>
        <w:tabs>
          <w:tab w:val="left" w:pos="5355"/>
        </w:tabs>
        <w:spacing w:before="100" w:beforeAutospacing="1" w:after="100" w:afterAutospacing="1" w:line="480" w:lineRule="auto"/>
        <w:ind w:firstLine="560" w:firstLineChars="200"/>
        <w:rPr>
          <w:rFonts w:ascii="仿宋_GB2312" w:hAnsi="宋体" w:eastAsia="仿宋_GB2312" w:cs="宋体"/>
          <w:sz w:val="28"/>
          <w:szCs w:val="28"/>
        </w:rPr>
      </w:pPr>
      <w:r>
        <w:rPr>
          <w:rFonts w:hint="eastAsia" w:ascii="仿宋_GB2312" w:hAnsi="宋体" w:eastAsia="仿宋_GB2312" w:cs="宋体"/>
          <w:bCs/>
          <w:sz w:val="28"/>
          <w:szCs w:val="28"/>
        </w:rPr>
        <w:t>我司承诺福建省肿瘤医院在授予我司合同时有权利增加补充相关内容。</w:t>
      </w:r>
    </w:p>
    <w:p w14:paraId="7E4708B1">
      <w:pPr>
        <w:tabs>
          <w:tab w:val="left" w:pos="5355"/>
        </w:tabs>
        <w:spacing w:before="100" w:beforeAutospacing="1" w:after="100" w:afterAutospacing="1" w:line="480" w:lineRule="auto"/>
        <w:rPr>
          <w:rFonts w:ascii="仿宋_GB2312" w:hAnsi="宋体" w:eastAsia="仿宋_GB2312" w:cs="宋体"/>
          <w:sz w:val="28"/>
          <w:szCs w:val="28"/>
        </w:rPr>
      </w:pPr>
      <w:r>
        <w:rPr>
          <w:rFonts w:hint="eastAsia" w:ascii="仿宋_GB2312" w:hAnsi="宋体" w:eastAsia="仿宋_GB2312" w:cs="宋体"/>
          <w:sz w:val="28"/>
          <w:szCs w:val="28"/>
        </w:rPr>
        <w:t>投标人名称（全称并加公章）：</w:t>
      </w:r>
    </w:p>
    <w:p w14:paraId="18426B9E">
      <w:pPr>
        <w:tabs>
          <w:tab w:val="left" w:pos="5355"/>
        </w:tabs>
        <w:spacing w:before="100" w:beforeAutospacing="1" w:after="100" w:afterAutospacing="1" w:line="480" w:lineRule="auto"/>
        <w:rPr>
          <w:rFonts w:ascii="仿宋_GB2312" w:hAnsi="宋体" w:eastAsia="仿宋_GB2312" w:cs="宋体"/>
          <w:sz w:val="28"/>
          <w:szCs w:val="28"/>
        </w:rPr>
      </w:pPr>
      <w:r>
        <w:rPr>
          <w:rFonts w:hint="eastAsia" w:ascii="仿宋_GB2312" w:hAnsi="宋体" w:eastAsia="仿宋_GB2312" w:cs="宋体"/>
          <w:sz w:val="28"/>
          <w:szCs w:val="28"/>
        </w:rPr>
        <w:t>投标人代表签字：</w:t>
      </w:r>
    </w:p>
    <w:p w14:paraId="366F663B">
      <w:pPr>
        <w:tabs>
          <w:tab w:val="left" w:pos="5355"/>
        </w:tabs>
        <w:spacing w:before="100" w:beforeAutospacing="1" w:after="100" w:afterAutospacing="1" w:line="480" w:lineRule="auto"/>
        <w:rPr>
          <w:b/>
          <w:sz w:val="28"/>
          <w:szCs w:val="28"/>
        </w:rPr>
      </w:pPr>
      <w:r>
        <w:rPr>
          <w:rFonts w:hint="eastAsia" w:ascii="仿宋_GB2312" w:hAnsi="宋体" w:eastAsia="仿宋_GB2312" w:cs="宋体"/>
          <w:sz w:val="28"/>
          <w:szCs w:val="28"/>
        </w:rPr>
        <w:t>日期：     年    月   日</w:t>
      </w:r>
    </w:p>
    <w:p w14:paraId="2E7A4602">
      <w:pPr>
        <w:spacing w:line="380" w:lineRule="exact"/>
        <w:rPr>
          <w:rFonts w:ascii="宋体" w:hAnsi="宋体" w:eastAsia="仿宋_GB2312"/>
          <w:sz w:val="28"/>
          <w:szCs w:val="28"/>
        </w:rPr>
      </w:pPr>
    </w:p>
    <w:p w14:paraId="3842C9DE">
      <w:pPr>
        <w:spacing w:line="380" w:lineRule="exact"/>
        <w:rPr>
          <w:rFonts w:ascii="宋体" w:hAnsi="宋体" w:eastAsia="仿宋_GB2312"/>
          <w:sz w:val="28"/>
          <w:szCs w:val="28"/>
        </w:rPr>
      </w:pPr>
    </w:p>
    <w:p w14:paraId="2F41350D">
      <w:pPr>
        <w:jc w:val="center"/>
        <w:rPr>
          <w:rFonts w:hint="eastAsia" w:cs="Times New Roman"/>
          <w:b/>
          <w:sz w:val="28"/>
          <w:szCs w:val="28"/>
        </w:rPr>
      </w:pPr>
      <w:r>
        <w:rPr>
          <w:rFonts w:hint="eastAsia" w:cs="Times New Roman"/>
          <w:b/>
          <w:sz w:val="28"/>
          <w:szCs w:val="28"/>
        </w:rPr>
        <w:t>四、采购供应商资格承诺函</w:t>
      </w:r>
    </w:p>
    <w:p w14:paraId="739D09BD">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致：（采购人或采购代理机构）</w:t>
      </w:r>
    </w:p>
    <w:p w14:paraId="6A8B8594">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单位名称(自然人姓名):</w:t>
      </w:r>
    </w:p>
    <w:p w14:paraId="05906A97">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统一社会信用代码(自然人身份证号码):</w:t>
      </w:r>
    </w:p>
    <w:p w14:paraId="1055E4F2">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法定代表人(负责人):</w:t>
      </w:r>
    </w:p>
    <w:p w14:paraId="4A3CD355">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联系地址和电话:</w:t>
      </w:r>
    </w:p>
    <w:p w14:paraId="1A843F4B">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我单位(本人)自愿参加本次政府采购活动，严格遵守《中华人民共和国政府采购法》及相关法律法规，坚守公开、公平公正和诚实信用等原则，依法诚信经营，并郑重承诺:</w:t>
      </w:r>
    </w:p>
    <w:p w14:paraId="5E7CEACC">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一、我单位(本人)具备采购文件要求以及《中华人民共和国政府采购法》第二十二条规定的条件:</w:t>
      </w:r>
    </w:p>
    <w:p w14:paraId="79488A0B">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1.具有独立承担民事责任的能力;</w:t>
      </w:r>
    </w:p>
    <w:p w14:paraId="6EE4C473">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2.具有良好的商业信誉和健全的财务会计制度;</w:t>
      </w:r>
    </w:p>
    <w:p w14:paraId="595164BD">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3.具有履行合同所必需的设备和专业技术能力;</w:t>
      </w:r>
    </w:p>
    <w:p w14:paraId="22929555">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4.有依法缴纳税收和社会保障资金的良好记录;</w:t>
      </w:r>
    </w:p>
    <w:p w14:paraId="6C779C38">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5.参加政府采购活动前三年内，在经营活动中没有重大违法记录；</w:t>
      </w:r>
    </w:p>
    <w:p w14:paraId="43B0EEFA">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6.法律、行政法规规定的其他条件。</w:t>
      </w:r>
    </w:p>
    <w:p w14:paraId="75CCD68B">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E4F77A6">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59ADFD89">
      <w:pPr>
        <w:pStyle w:val="47"/>
        <w:ind w:firstLine="480"/>
        <w:jc w:val="right"/>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供应商：名称(单位公章):</w:t>
      </w:r>
    </w:p>
    <w:p w14:paraId="02E44FA2">
      <w:pPr>
        <w:pStyle w:val="47"/>
        <w:ind w:firstLine="480"/>
        <w:jc w:val="right"/>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日期：　　年　　月　　日</w:t>
      </w:r>
    </w:p>
    <w:p w14:paraId="0BCFABAF">
      <w:pPr>
        <w:pStyle w:val="47"/>
        <w:ind w:firstLine="48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注：</w:t>
      </w:r>
    </w:p>
    <w:p w14:paraId="38FA0409">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1.我单位(本人)专指参加政府采购活动的供应商(含自然人)；</w:t>
      </w:r>
    </w:p>
    <w:p w14:paraId="6A79A539">
      <w:pPr>
        <w:pStyle w:val="47"/>
        <w:ind w:firstLine="960"/>
        <w:rPr>
          <w:rFonts w:hint="eastAsia" w:ascii="仿宋_GB2312" w:hAnsi="宋体" w:eastAsia="仿宋_GB2312" w:cs="宋体"/>
          <w:bCs/>
          <w:kern w:val="0"/>
          <w:sz w:val="28"/>
          <w:szCs w:val="28"/>
          <w:lang w:val="en-US" w:eastAsia="zh-CN" w:bidi="ar-SA"/>
        </w:rPr>
      </w:pPr>
      <w:r>
        <w:rPr>
          <w:rFonts w:hint="eastAsia" w:ascii="仿宋_GB2312" w:hAnsi="宋体" w:eastAsia="仿宋_GB2312" w:cs="宋体"/>
          <w:bCs/>
          <w:kern w:val="0"/>
          <w:sz w:val="28"/>
          <w:szCs w:val="28"/>
          <w:lang w:val="en-US" w:eastAsia="zh-CN" w:bidi="ar-SA"/>
        </w:rPr>
        <w:t>2.资格承诺的供应商应在投标(响应)文件中按此模板提供承诺函，否则，视为未按照招标文件规定提交投标人的资格及资信文件，按资格审查不通过处理。</w:t>
      </w:r>
    </w:p>
    <w:p w14:paraId="407A67AC">
      <w:pPr>
        <w:spacing w:line="380" w:lineRule="exact"/>
        <w:ind w:firstLine="560" w:firstLineChars="200"/>
        <w:rPr>
          <w:rFonts w:hint="eastAsia" w:ascii="仿宋_GB2312" w:hAnsi="宋体" w:eastAsia="仿宋_GB2312" w:cs="宋体"/>
          <w:bCs/>
          <w:kern w:val="0"/>
          <w:sz w:val="28"/>
          <w:szCs w:val="28"/>
          <w:lang w:val="en-US" w:eastAsia="zh-CN" w:bidi="ar-SA"/>
        </w:rPr>
      </w:pPr>
    </w:p>
    <w:p w14:paraId="508698CD">
      <w:pPr>
        <w:tabs>
          <w:tab w:val="left" w:pos="1600"/>
        </w:tabs>
        <w:spacing w:line="560" w:lineRule="exact"/>
        <w:ind w:left="330" w:firstLine="240"/>
        <w:jc w:val="center"/>
        <w:rPr>
          <w:rFonts w:ascii="宋体" w:hAnsi="宋体"/>
          <w:b/>
          <w:sz w:val="30"/>
          <w:szCs w:val="30"/>
        </w:rPr>
      </w:pPr>
      <w:r>
        <w:rPr>
          <w:rFonts w:hint="eastAsia" w:ascii="宋体" w:hAnsi="宋体"/>
          <w:b/>
          <w:sz w:val="30"/>
          <w:szCs w:val="30"/>
        </w:rPr>
        <w:t>五、投标人提交的其它材料</w:t>
      </w:r>
    </w:p>
    <w:p w14:paraId="311C78C4">
      <w:pPr>
        <w:spacing w:line="220" w:lineRule="atLeast"/>
        <w:rPr>
          <w:rFonts w:ascii="宋体" w:hAnsi="宋体" w:eastAsia="仿宋_GB2312"/>
          <w:sz w:val="28"/>
          <w:szCs w:val="28"/>
        </w:rPr>
      </w:pPr>
    </w:p>
    <w:p w14:paraId="1D3BBECB"/>
    <w:p w14:paraId="7214E9B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inherit">
    <w:altName w:val="Times New Roman"/>
    <w:panose1 w:val="00000000000000000000"/>
    <w:charset w:val="00"/>
    <w:family w:val="roman"/>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2123A1"/>
    <w:multiLevelType w:val="multilevel"/>
    <w:tmpl w:val="372123A1"/>
    <w:lvl w:ilvl="0" w:tentative="0">
      <w:start w:val="1"/>
      <w:numFmt w:val="decimal"/>
      <w:lvlText w:val="%1."/>
      <w:lvlJc w:val="left"/>
      <w:pPr>
        <w:ind w:left="830" w:hanging="440"/>
      </w:p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1">
    <w:nsid w:val="50AE6D90"/>
    <w:multiLevelType w:val="multilevel"/>
    <w:tmpl w:val="50AE6D90"/>
    <w:lvl w:ilvl="0" w:tentative="0">
      <w:start w:val="1"/>
      <w:numFmt w:val="decimal"/>
      <w:lvlText w:val="%1."/>
      <w:lvlJc w:val="left"/>
      <w:pPr>
        <w:ind w:left="830" w:hanging="440"/>
      </w:pPr>
      <w:rPr>
        <w:b w:val="0"/>
        <w:bCs w:val="0"/>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2">
    <w:nsid w:val="74AF2DF7"/>
    <w:multiLevelType w:val="multilevel"/>
    <w:tmpl w:val="74AF2DF7"/>
    <w:lvl w:ilvl="0" w:tentative="0">
      <w:start w:val="1"/>
      <w:numFmt w:val="decimal"/>
      <w:lvlText w:val="%1."/>
      <w:lvlJc w:val="left"/>
      <w:pPr>
        <w:ind w:left="830" w:hanging="440"/>
      </w:p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3">
    <w:nsid w:val="75EE7788"/>
    <w:multiLevelType w:val="multilevel"/>
    <w:tmpl w:val="75EE7788"/>
    <w:lvl w:ilvl="0" w:tentative="0">
      <w:start w:val="1"/>
      <w:numFmt w:val="decimal"/>
      <w:lvlText w:val="%1."/>
      <w:lvlJc w:val="left"/>
      <w:pPr>
        <w:ind w:left="830" w:hanging="440"/>
      </w:pPr>
      <w:rPr>
        <w:b w:val="0"/>
        <w:bCs w:val="0"/>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abstractNum w:abstractNumId="4">
    <w:nsid w:val="779E48CE"/>
    <w:multiLevelType w:val="multilevel"/>
    <w:tmpl w:val="779E48CE"/>
    <w:lvl w:ilvl="0" w:tentative="0">
      <w:start w:val="1"/>
      <w:numFmt w:val="decimal"/>
      <w:lvlText w:val="%1."/>
      <w:lvlJc w:val="left"/>
      <w:pPr>
        <w:ind w:left="830" w:hanging="440"/>
      </w:pPr>
      <w:rPr>
        <w:b w:val="0"/>
        <w:bCs w:val="0"/>
      </w:rPr>
    </w:lvl>
    <w:lvl w:ilvl="1" w:tentative="0">
      <w:start w:val="1"/>
      <w:numFmt w:val="lowerLetter"/>
      <w:lvlText w:val="%2)"/>
      <w:lvlJc w:val="left"/>
      <w:pPr>
        <w:ind w:left="1270" w:hanging="440"/>
      </w:pPr>
    </w:lvl>
    <w:lvl w:ilvl="2" w:tentative="0">
      <w:start w:val="1"/>
      <w:numFmt w:val="lowerRoman"/>
      <w:lvlText w:val="%3."/>
      <w:lvlJc w:val="right"/>
      <w:pPr>
        <w:ind w:left="1710" w:hanging="440"/>
      </w:pPr>
    </w:lvl>
    <w:lvl w:ilvl="3" w:tentative="0">
      <w:start w:val="1"/>
      <w:numFmt w:val="decimal"/>
      <w:lvlText w:val="%4."/>
      <w:lvlJc w:val="left"/>
      <w:pPr>
        <w:ind w:left="2150" w:hanging="440"/>
      </w:pPr>
    </w:lvl>
    <w:lvl w:ilvl="4" w:tentative="0">
      <w:start w:val="1"/>
      <w:numFmt w:val="lowerLetter"/>
      <w:lvlText w:val="%5)"/>
      <w:lvlJc w:val="left"/>
      <w:pPr>
        <w:ind w:left="2590" w:hanging="440"/>
      </w:pPr>
    </w:lvl>
    <w:lvl w:ilvl="5" w:tentative="0">
      <w:start w:val="1"/>
      <w:numFmt w:val="lowerRoman"/>
      <w:lvlText w:val="%6."/>
      <w:lvlJc w:val="right"/>
      <w:pPr>
        <w:ind w:left="3030" w:hanging="440"/>
      </w:pPr>
    </w:lvl>
    <w:lvl w:ilvl="6" w:tentative="0">
      <w:start w:val="1"/>
      <w:numFmt w:val="decimal"/>
      <w:lvlText w:val="%7."/>
      <w:lvlJc w:val="left"/>
      <w:pPr>
        <w:ind w:left="3470" w:hanging="440"/>
      </w:pPr>
    </w:lvl>
    <w:lvl w:ilvl="7" w:tentative="0">
      <w:start w:val="1"/>
      <w:numFmt w:val="lowerLetter"/>
      <w:lvlText w:val="%8)"/>
      <w:lvlJc w:val="left"/>
      <w:pPr>
        <w:ind w:left="3910" w:hanging="440"/>
      </w:pPr>
    </w:lvl>
    <w:lvl w:ilvl="8" w:tentative="0">
      <w:start w:val="1"/>
      <w:numFmt w:val="lowerRoman"/>
      <w:lvlText w:val="%9."/>
      <w:lvlJc w:val="right"/>
      <w:pPr>
        <w:ind w:left="4350" w:hanging="44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xNWUwMzE1MzE5ZTUyYjc3MGExMTZiNzk0OWQyMzIifQ=="/>
  </w:docVars>
  <w:rsids>
    <w:rsidRoot w:val="00925EA8"/>
    <w:rsid w:val="00013AC5"/>
    <w:rsid w:val="000176FA"/>
    <w:rsid w:val="000320C1"/>
    <w:rsid w:val="000A52FF"/>
    <w:rsid w:val="000B3136"/>
    <w:rsid w:val="000D002C"/>
    <w:rsid w:val="000E02B3"/>
    <w:rsid w:val="000F6AB4"/>
    <w:rsid w:val="00100B90"/>
    <w:rsid w:val="001974A4"/>
    <w:rsid w:val="001C16F6"/>
    <w:rsid w:val="00211344"/>
    <w:rsid w:val="004344FA"/>
    <w:rsid w:val="004A7C9A"/>
    <w:rsid w:val="004C2B78"/>
    <w:rsid w:val="00500740"/>
    <w:rsid w:val="00545471"/>
    <w:rsid w:val="00575750"/>
    <w:rsid w:val="0058679B"/>
    <w:rsid w:val="005F4D92"/>
    <w:rsid w:val="00620EA6"/>
    <w:rsid w:val="006575E2"/>
    <w:rsid w:val="006841D4"/>
    <w:rsid w:val="007017C3"/>
    <w:rsid w:val="0071695C"/>
    <w:rsid w:val="007A3BC9"/>
    <w:rsid w:val="00827F17"/>
    <w:rsid w:val="00861407"/>
    <w:rsid w:val="008926BB"/>
    <w:rsid w:val="008D292D"/>
    <w:rsid w:val="008F04C5"/>
    <w:rsid w:val="008F50A2"/>
    <w:rsid w:val="00925EA8"/>
    <w:rsid w:val="009B089F"/>
    <w:rsid w:val="00A01F6B"/>
    <w:rsid w:val="00A13103"/>
    <w:rsid w:val="00AB5F12"/>
    <w:rsid w:val="00B02446"/>
    <w:rsid w:val="00B53767"/>
    <w:rsid w:val="00B5576B"/>
    <w:rsid w:val="00B82747"/>
    <w:rsid w:val="00C54FFE"/>
    <w:rsid w:val="00C666E8"/>
    <w:rsid w:val="00CA76F7"/>
    <w:rsid w:val="00D56868"/>
    <w:rsid w:val="00D910B2"/>
    <w:rsid w:val="00E360F1"/>
    <w:rsid w:val="00EE41A9"/>
    <w:rsid w:val="00FD1894"/>
    <w:rsid w:val="01B043B5"/>
    <w:rsid w:val="03B02B5A"/>
    <w:rsid w:val="056F5558"/>
    <w:rsid w:val="072E3E0C"/>
    <w:rsid w:val="08A94889"/>
    <w:rsid w:val="136C4E31"/>
    <w:rsid w:val="160E0421"/>
    <w:rsid w:val="17EA0A1A"/>
    <w:rsid w:val="18756510"/>
    <w:rsid w:val="1AA650CC"/>
    <w:rsid w:val="1AF30046"/>
    <w:rsid w:val="2393261C"/>
    <w:rsid w:val="25F73270"/>
    <w:rsid w:val="271118FA"/>
    <w:rsid w:val="27FD039C"/>
    <w:rsid w:val="285B1E8D"/>
    <w:rsid w:val="2B195446"/>
    <w:rsid w:val="2BEF61A7"/>
    <w:rsid w:val="2CB97406"/>
    <w:rsid w:val="2D084E9E"/>
    <w:rsid w:val="2EE30F1C"/>
    <w:rsid w:val="38571C7D"/>
    <w:rsid w:val="38F54FFF"/>
    <w:rsid w:val="3A4352FA"/>
    <w:rsid w:val="3E344619"/>
    <w:rsid w:val="3E481E73"/>
    <w:rsid w:val="449B7B36"/>
    <w:rsid w:val="44A618A0"/>
    <w:rsid w:val="45BE0AF7"/>
    <w:rsid w:val="496D6C31"/>
    <w:rsid w:val="5F6C5CDC"/>
    <w:rsid w:val="61C47D2D"/>
    <w:rsid w:val="68AD0E80"/>
    <w:rsid w:val="69912070"/>
    <w:rsid w:val="6DF72250"/>
    <w:rsid w:val="70691651"/>
    <w:rsid w:val="78A21BA4"/>
    <w:rsid w:val="7A5927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3">
    <w:name w:val="heading 1"/>
    <w:basedOn w:val="1"/>
    <w:next w:val="1"/>
    <w:link w:val="26"/>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4">
    <w:name w:val="heading 2"/>
    <w:basedOn w:val="1"/>
    <w:next w:val="1"/>
    <w:link w:val="27"/>
    <w:unhideWhenUsed/>
    <w:qFormat/>
    <w:uiPriority w:val="0"/>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5">
    <w:name w:val="heading 3"/>
    <w:basedOn w:val="1"/>
    <w:next w:val="1"/>
    <w:link w:val="28"/>
    <w:semiHidden/>
    <w:unhideWhenUsed/>
    <w:qFormat/>
    <w:uiPriority w:val="0"/>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6">
    <w:name w:val="heading 4"/>
    <w:basedOn w:val="1"/>
    <w:next w:val="1"/>
    <w:link w:val="29"/>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7">
    <w:name w:val="heading 5"/>
    <w:basedOn w:val="1"/>
    <w:next w:val="1"/>
    <w:link w:val="30"/>
    <w:semiHidden/>
    <w:unhideWhenUsed/>
    <w:qFormat/>
    <w:uiPriority w:val="9"/>
    <w:pPr>
      <w:keepNext/>
      <w:keepLines/>
      <w:spacing w:before="80" w:after="40"/>
      <w:outlineLvl w:val="4"/>
    </w:pPr>
    <w:rPr>
      <w:rFonts w:cstheme="majorBidi"/>
      <w:color w:val="376092" w:themeColor="accent1" w:themeShade="BF"/>
      <w:sz w:val="24"/>
      <w:szCs w:val="24"/>
    </w:rPr>
  </w:style>
  <w:style w:type="paragraph" w:styleId="8">
    <w:name w:val="heading 6"/>
    <w:basedOn w:val="1"/>
    <w:next w:val="1"/>
    <w:link w:val="31"/>
    <w:semiHidden/>
    <w:unhideWhenUsed/>
    <w:qFormat/>
    <w:uiPriority w:val="9"/>
    <w:pPr>
      <w:keepNext/>
      <w:keepLines/>
      <w:spacing w:before="40"/>
      <w:outlineLvl w:val="5"/>
    </w:pPr>
    <w:rPr>
      <w:rFonts w:cstheme="majorBidi"/>
      <w:b/>
      <w:bCs/>
      <w:color w:val="376092" w:themeColor="accent1" w:themeShade="BF"/>
    </w:rPr>
  </w:style>
  <w:style w:type="paragraph" w:styleId="9">
    <w:name w:val="heading 7"/>
    <w:basedOn w:val="1"/>
    <w:next w:val="1"/>
    <w:link w:val="32"/>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3"/>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4"/>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0"/>
    <w:semiHidden/>
    <w:unhideWhenUsed/>
    <w:qFormat/>
    <w:uiPriority w:val="99"/>
    <w:pPr>
      <w:spacing w:after="120"/>
    </w:pPr>
  </w:style>
  <w:style w:type="paragraph" w:styleId="12">
    <w:name w:val="Normal Indent"/>
    <w:basedOn w:val="1"/>
    <w:link w:val="48"/>
    <w:qFormat/>
    <w:uiPriority w:val="0"/>
    <w:pPr>
      <w:adjustRightInd/>
      <w:snapToGrid/>
      <w:spacing w:after="0"/>
      <w:ind w:firstLine="420"/>
    </w:pPr>
    <w:rPr>
      <w:rFonts w:ascii="Times New Roman" w:hAnsi="Times New Roman" w:eastAsia="宋体"/>
      <w:sz w:val="20"/>
      <w:szCs w:val="20"/>
    </w:rPr>
  </w:style>
  <w:style w:type="paragraph" w:styleId="13">
    <w:name w:val="Balloon Text"/>
    <w:basedOn w:val="1"/>
    <w:link w:val="53"/>
    <w:semiHidden/>
    <w:unhideWhenUsed/>
    <w:qFormat/>
    <w:uiPriority w:val="99"/>
    <w:pPr>
      <w:spacing w:after="0"/>
    </w:pPr>
    <w:rPr>
      <w:sz w:val="18"/>
      <w:szCs w:val="18"/>
    </w:rPr>
  </w:style>
  <w:style w:type="paragraph" w:styleId="14">
    <w:name w:val="footer"/>
    <w:basedOn w:val="1"/>
    <w:link w:val="45"/>
    <w:unhideWhenUsed/>
    <w:qFormat/>
    <w:uiPriority w:val="99"/>
    <w:pPr>
      <w:tabs>
        <w:tab w:val="center" w:pos="4153"/>
        <w:tab w:val="right" w:pos="8306"/>
      </w:tabs>
    </w:pPr>
    <w:rPr>
      <w:sz w:val="18"/>
      <w:szCs w:val="18"/>
    </w:rPr>
  </w:style>
  <w:style w:type="paragraph" w:styleId="15">
    <w:name w:val="header"/>
    <w:basedOn w:val="1"/>
    <w:link w:val="44"/>
    <w:unhideWhenUsed/>
    <w:qFormat/>
    <w:uiPriority w:val="99"/>
    <w:pPr>
      <w:tabs>
        <w:tab w:val="center" w:pos="4153"/>
        <w:tab w:val="right" w:pos="8306"/>
      </w:tabs>
      <w:jc w:val="center"/>
    </w:pPr>
    <w:rPr>
      <w:sz w:val="18"/>
      <w:szCs w:val="18"/>
    </w:rPr>
  </w:style>
  <w:style w:type="paragraph" w:styleId="16">
    <w:name w:val="Subtitle"/>
    <w:basedOn w:val="1"/>
    <w:next w:val="1"/>
    <w:link w:val="3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Body Text 2"/>
    <w:basedOn w:val="1"/>
    <w:link w:val="46"/>
    <w:qFormat/>
    <w:uiPriority w:val="0"/>
    <w:pPr>
      <w:spacing w:after="120" w:line="480" w:lineRule="auto"/>
    </w:pPr>
  </w:style>
  <w:style w:type="paragraph" w:styleId="18">
    <w:name w:val="HTML Preformatted"/>
    <w:basedOn w:val="1"/>
    <w:link w:val="4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sz w:val="24"/>
      <w:szCs w:val="24"/>
    </w:rPr>
  </w:style>
  <w:style w:type="paragraph" w:styleId="19">
    <w:name w:val="Normal (Web)"/>
    <w:basedOn w:val="1"/>
    <w:unhideWhenUsed/>
    <w:qFormat/>
    <w:uiPriority w:val="99"/>
    <w:pPr>
      <w:spacing w:before="100" w:beforeAutospacing="1" w:after="100" w:afterAutospacing="1"/>
    </w:pPr>
    <w:rPr>
      <w:sz w:val="24"/>
    </w:rPr>
  </w:style>
  <w:style w:type="paragraph" w:styleId="20">
    <w:name w:val="Title"/>
    <w:basedOn w:val="1"/>
    <w:next w:val="1"/>
    <w:link w:val="35"/>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1">
    <w:name w:val="Body Text First Indent"/>
    <w:basedOn w:val="2"/>
    <w:link w:val="51"/>
    <w:unhideWhenUsed/>
    <w:qFormat/>
    <w:uiPriority w:val="0"/>
    <w:pPr>
      <w:ind w:firstLine="420" w:firstLineChars="100"/>
    </w:pPr>
  </w:style>
  <w:style w:type="table" w:styleId="23">
    <w:name w:val="Table Grid"/>
    <w:basedOn w:val="22"/>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rPr>
  </w:style>
  <w:style w:type="character" w:customStyle="1" w:styleId="26">
    <w:name w:val="标题 1 Char"/>
    <w:basedOn w:val="24"/>
    <w:link w:val="3"/>
    <w:qFormat/>
    <w:uiPriority w:val="9"/>
    <w:rPr>
      <w:rFonts w:asciiTheme="majorHAnsi" w:hAnsiTheme="majorHAnsi" w:eastAsiaTheme="majorEastAsia" w:cstheme="majorBidi"/>
      <w:color w:val="376092" w:themeColor="accent1" w:themeShade="BF"/>
      <w:sz w:val="48"/>
      <w:szCs w:val="48"/>
    </w:rPr>
  </w:style>
  <w:style w:type="character" w:customStyle="1" w:styleId="27">
    <w:name w:val="标题 2 Char"/>
    <w:basedOn w:val="24"/>
    <w:link w:val="4"/>
    <w:qFormat/>
    <w:uiPriority w:val="0"/>
    <w:rPr>
      <w:rFonts w:asciiTheme="majorHAnsi" w:hAnsiTheme="majorHAnsi" w:eastAsiaTheme="majorEastAsia" w:cstheme="majorBidi"/>
      <w:color w:val="376092" w:themeColor="accent1" w:themeShade="BF"/>
      <w:sz w:val="40"/>
      <w:szCs w:val="40"/>
    </w:rPr>
  </w:style>
  <w:style w:type="character" w:customStyle="1" w:styleId="28">
    <w:name w:val="标题 3 Char"/>
    <w:basedOn w:val="24"/>
    <w:link w:val="5"/>
    <w:semiHidden/>
    <w:qFormat/>
    <w:uiPriority w:val="0"/>
    <w:rPr>
      <w:rFonts w:asciiTheme="majorHAnsi" w:hAnsiTheme="majorHAnsi" w:eastAsiaTheme="majorEastAsia" w:cstheme="majorBidi"/>
      <w:color w:val="376092" w:themeColor="accent1" w:themeShade="BF"/>
      <w:sz w:val="32"/>
      <w:szCs w:val="32"/>
    </w:rPr>
  </w:style>
  <w:style w:type="character" w:customStyle="1" w:styleId="29">
    <w:name w:val="标题 4 Char"/>
    <w:basedOn w:val="24"/>
    <w:link w:val="6"/>
    <w:semiHidden/>
    <w:qFormat/>
    <w:uiPriority w:val="9"/>
    <w:rPr>
      <w:rFonts w:cstheme="majorBidi"/>
      <w:color w:val="376092" w:themeColor="accent1" w:themeShade="BF"/>
      <w:sz w:val="28"/>
      <w:szCs w:val="28"/>
    </w:rPr>
  </w:style>
  <w:style w:type="character" w:customStyle="1" w:styleId="30">
    <w:name w:val="标题 5 Char"/>
    <w:basedOn w:val="24"/>
    <w:link w:val="7"/>
    <w:semiHidden/>
    <w:qFormat/>
    <w:uiPriority w:val="9"/>
    <w:rPr>
      <w:rFonts w:cstheme="majorBidi"/>
      <w:color w:val="376092" w:themeColor="accent1" w:themeShade="BF"/>
      <w:sz w:val="24"/>
      <w:szCs w:val="24"/>
    </w:rPr>
  </w:style>
  <w:style w:type="character" w:customStyle="1" w:styleId="31">
    <w:name w:val="标题 6 Char"/>
    <w:basedOn w:val="24"/>
    <w:link w:val="8"/>
    <w:semiHidden/>
    <w:qFormat/>
    <w:uiPriority w:val="9"/>
    <w:rPr>
      <w:rFonts w:cstheme="majorBidi"/>
      <w:b/>
      <w:bCs/>
      <w:color w:val="376092" w:themeColor="accent1" w:themeShade="BF"/>
    </w:rPr>
  </w:style>
  <w:style w:type="character" w:customStyle="1" w:styleId="32">
    <w:name w:val="标题 7 Char"/>
    <w:basedOn w:val="24"/>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3">
    <w:name w:val="标题 8 Char"/>
    <w:basedOn w:val="24"/>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4">
    <w:name w:val="标题 9 Char"/>
    <w:basedOn w:val="24"/>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5">
    <w:name w:val="标题 Char"/>
    <w:basedOn w:val="24"/>
    <w:link w:val="20"/>
    <w:qFormat/>
    <w:uiPriority w:val="10"/>
    <w:rPr>
      <w:rFonts w:asciiTheme="majorHAnsi" w:hAnsiTheme="majorHAnsi" w:eastAsiaTheme="majorEastAsia" w:cstheme="majorBidi"/>
      <w:spacing w:val="-10"/>
      <w:kern w:val="28"/>
      <w:sz w:val="56"/>
      <w:szCs w:val="56"/>
    </w:rPr>
  </w:style>
  <w:style w:type="character" w:customStyle="1" w:styleId="36">
    <w:name w:val="副标题 Char"/>
    <w:basedOn w:val="24"/>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引用 Char"/>
    <w:basedOn w:val="24"/>
    <w:link w:val="37"/>
    <w:qFormat/>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qFormat/>
    <w:uiPriority w:val="99"/>
    <w:pPr>
      <w:ind w:left="720"/>
      <w:contextualSpacing/>
    </w:pPr>
  </w:style>
  <w:style w:type="character" w:customStyle="1" w:styleId="40">
    <w:name w:val="Intense Emphasis"/>
    <w:basedOn w:val="24"/>
    <w:qFormat/>
    <w:uiPriority w:val="21"/>
    <w:rPr>
      <w:i/>
      <w:iCs/>
      <w:color w:val="376092" w:themeColor="accent1" w:themeShade="BF"/>
    </w:rPr>
  </w:style>
  <w:style w:type="paragraph" w:styleId="41">
    <w:name w:val="Intense Quote"/>
    <w:basedOn w:val="1"/>
    <w:next w:val="1"/>
    <w:link w:val="42"/>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42">
    <w:name w:val="明显引用 Char"/>
    <w:basedOn w:val="24"/>
    <w:link w:val="41"/>
    <w:qFormat/>
    <w:uiPriority w:val="30"/>
    <w:rPr>
      <w:i/>
      <w:iCs/>
      <w:color w:val="376092" w:themeColor="accent1" w:themeShade="BF"/>
    </w:rPr>
  </w:style>
  <w:style w:type="character" w:customStyle="1" w:styleId="43">
    <w:name w:val="Intense Reference"/>
    <w:basedOn w:val="24"/>
    <w:qFormat/>
    <w:uiPriority w:val="32"/>
    <w:rPr>
      <w:b/>
      <w:bCs/>
      <w:smallCaps/>
      <w:color w:val="376092" w:themeColor="accent1" w:themeShade="BF"/>
      <w:spacing w:val="5"/>
    </w:rPr>
  </w:style>
  <w:style w:type="character" w:customStyle="1" w:styleId="44">
    <w:name w:val="页眉 Char"/>
    <w:basedOn w:val="24"/>
    <w:link w:val="15"/>
    <w:qFormat/>
    <w:uiPriority w:val="99"/>
    <w:rPr>
      <w:sz w:val="18"/>
      <w:szCs w:val="18"/>
    </w:rPr>
  </w:style>
  <w:style w:type="character" w:customStyle="1" w:styleId="45">
    <w:name w:val="页脚 Char"/>
    <w:basedOn w:val="24"/>
    <w:link w:val="14"/>
    <w:qFormat/>
    <w:uiPriority w:val="99"/>
    <w:rPr>
      <w:sz w:val="18"/>
      <w:szCs w:val="18"/>
    </w:rPr>
  </w:style>
  <w:style w:type="character" w:customStyle="1" w:styleId="46">
    <w:name w:val="正文文本 2 Char"/>
    <w:basedOn w:val="24"/>
    <w:link w:val="17"/>
    <w:qFormat/>
    <w:uiPriority w:val="0"/>
    <w:rPr>
      <w:rFonts w:ascii="Tahoma" w:hAnsi="Tahoma" w:eastAsia="微软雅黑" w:cs="Times New Roman"/>
      <w:kern w:val="0"/>
      <w:sz w:val="22"/>
    </w:rPr>
  </w:style>
  <w:style w:type="paragraph" w:customStyle="1" w:styleId="47">
    <w:name w:val="null3"/>
    <w:qFormat/>
    <w:uiPriority w:val="0"/>
    <w:rPr>
      <w:rFonts w:hint="eastAsia" w:ascii="Calibri" w:hAnsi="Calibri" w:eastAsia="宋体" w:cs="Times New Roman"/>
      <w:kern w:val="0"/>
      <w:sz w:val="20"/>
      <w:szCs w:val="20"/>
      <w:lang w:val="en-US" w:eastAsia="zh-CN" w:bidi="ar-SA"/>
    </w:rPr>
  </w:style>
  <w:style w:type="character" w:customStyle="1" w:styleId="48">
    <w:name w:val="正文缩进 Char"/>
    <w:link w:val="12"/>
    <w:qFormat/>
    <w:uiPriority w:val="0"/>
    <w:rPr>
      <w:rFonts w:ascii="Times New Roman" w:hAnsi="Times New Roman" w:eastAsia="宋体" w:cs="Times New Roman"/>
      <w:kern w:val="0"/>
      <w:sz w:val="20"/>
      <w:szCs w:val="20"/>
    </w:rPr>
  </w:style>
  <w:style w:type="character" w:customStyle="1" w:styleId="49">
    <w:name w:val="HTML 预设格式 Char"/>
    <w:basedOn w:val="24"/>
    <w:link w:val="18"/>
    <w:qFormat/>
    <w:uiPriority w:val="0"/>
    <w:rPr>
      <w:rFonts w:ascii="宋体" w:hAnsi="宋体" w:eastAsia="宋体" w:cs="Times New Roman"/>
      <w:kern w:val="0"/>
      <w:sz w:val="24"/>
      <w:szCs w:val="24"/>
    </w:rPr>
  </w:style>
  <w:style w:type="character" w:customStyle="1" w:styleId="50">
    <w:name w:val="正文文本 Char"/>
    <w:basedOn w:val="24"/>
    <w:link w:val="2"/>
    <w:semiHidden/>
    <w:qFormat/>
    <w:uiPriority w:val="99"/>
    <w:rPr>
      <w:rFonts w:ascii="Tahoma" w:hAnsi="Tahoma" w:eastAsia="微软雅黑" w:cs="Times New Roman"/>
      <w:kern w:val="0"/>
      <w:sz w:val="22"/>
    </w:rPr>
  </w:style>
  <w:style w:type="character" w:customStyle="1" w:styleId="51">
    <w:name w:val="正文首行缩进 Char"/>
    <w:basedOn w:val="50"/>
    <w:link w:val="21"/>
    <w:qFormat/>
    <w:uiPriority w:val="0"/>
    <w:rPr>
      <w:rFonts w:ascii="Tahoma" w:hAnsi="Tahoma" w:eastAsia="微软雅黑" w:cs="Times New Roman"/>
      <w:kern w:val="0"/>
      <w:sz w:val="22"/>
    </w:rPr>
  </w:style>
  <w:style w:type="character" w:customStyle="1" w:styleId="52">
    <w:name w:val="font21"/>
    <w:basedOn w:val="24"/>
    <w:qFormat/>
    <w:uiPriority w:val="0"/>
    <w:rPr>
      <w:rFonts w:hint="eastAsia" w:ascii="宋体" w:hAnsi="宋体" w:eastAsia="宋体" w:cs="宋体"/>
      <w:color w:val="000000"/>
      <w:sz w:val="22"/>
      <w:szCs w:val="22"/>
      <w:u w:val="none"/>
    </w:rPr>
  </w:style>
  <w:style w:type="character" w:customStyle="1" w:styleId="53">
    <w:name w:val="批注框文本 Char"/>
    <w:basedOn w:val="24"/>
    <w:link w:val="13"/>
    <w:semiHidden/>
    <w:qFormat/>
    <w:uiPriority w:val="99"/>
    <w:rPr>
      <w:rFonts w:ascii="Tahoma" w:hAnsi="Tahoma" w:eastAsia="微软雅黑" w:cs="Times New Roman"/>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19</Pages>
  <Words>5095</Words>
  <Characters>5563</Characters>
  <Lines>35</Lines>
  <Paragraphs>9</Paragraphs>
  <TotalTime>99</TotalTime>
  <ScaleCrop>false</ScaleCrop>
  <LinksUpToDate>false</LinksUpToDate>
  <CharactersWithSpaces>5649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2024-07-22T08:42:00Z</dcterms:created>
  <dc:creator>Admin</dc:creator>
  <cp:lastModifiedBy>陈永秀</cp:lastModifiedBy>
  <cp:lastPrinted>2025-11-18T00:14:00Z</cp:lastPrinted>
  <dcterms:modified xsi:type="dcterms:W3CDTF">2025-11-19T06:23:04Z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05AD16A5946B403ABB48DD743625E3E8_13</vt:lpwstr>
  </property>
  <property fmtid="{D5CDD505-2E9C-101B-9397-08002B2CF9AE}" pid="4" name="KSOTemplateDocerSaveRecord">
    <vt:lpwstr>eyJoZGlkIjoiMGQwZjNhZjI0MTEwNDAxMmI2ODI4YThjZGQ0NjZhNTciLCJ1c2VySWQiOiIxNzI5NDY5MTQ3In0=</vt:lpwstr>
  </property>
</Properties>
</file>