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67481">
      <w:pPr>
        <w:pStyle w:val="19"/>
        <w:spacing w:before="75" w:beforeAutospacing="0" w:after="75" w:afterAutospacing="0"/>
        <w:jc w:val="center"/>
        <w:rPr>
          <w:rFonts w:ascii="宋体" w:hAnsi="宋体" w:eastAsia="宋体" w:cs="宋体"/>
          <w:b/>
          <w:bCs/>
          <w:sz w:val="32"/>
          <w:szCs w:val="32"/>
          <w:highlight w:val="none"/>
        </w:rPr>
      </w:pPr>
    </w:p>
    <w:p w14:paraId="33C93AF2">
      <w:pPr>
        <w:adjustRightInd/>
        <w:snapToGrid/>
        <w:spacing w:after="0" w:line="480" w:lineRule="atLeast"/>
        <w:jc w:val="center"/>
        <w:rPr>
          <w:rFonts w:ascii="宋体" w:hAnsi="宋体" w:eastAsia="宋体" w:cs="宋体"/>
          <w:b/>
          <w:bCs/>
          <w:color w:val="404040"/>
          <w:sz w:val="32"/>
          <w:szCs w:val="32"/>
          <w:highlight w:val="none"/>
        </w:rPr>
      </w:pPr>
      <w:r>
        <w:rPr>
          <w:rFonts w:hint="eastAsia" w:ascii="宋体" w:hAnsi="宋体" w:eastAsia="宋体" w:cs="宋体"/>
          <w:b/>
          <w:bCs/>
          <w:color w:val="404040"/>
          <w:sz w:val="32"/>
          <w:szCs w:val="32"/>
          <w:highlight w:val="none"/>
          <w:lang w:val="en-US" w:eastAsia="zh-CN"/>
        </w:rPr>
        <w:t>福建省肿瘤医院病理科监控设备采购项目</w:t>
      </w:r>
      <w:r>
        <w:rPr>
          <w:rFonts w:hint="eastAsia" w:ascii="宋体" w:hAnsi="宋体" w:eastAsia="宋体" w:cs="宋体"/>
          <w:b/>
          <w:bCs/>
          <w:color w:val="404040"/>
          <w:sz w:val="32"/>
          <w:szCs w:val="32"/>
          <w:highlight w:val="none"/>
        </w:rPr>
        <w:t>招标采购公告</w:t>
      </w:r>
    </w:p>
    <w:p w14:paraId="2695B5E9">
      <w:pPr>
        <w:adjustRightInd/>
        <w:snapToGrid/>
        <w:spacing w:before="150" w:after="0" w:line="480" w:lineRule="atLeast"/>
        <w:jc w:val="both"/>
        <w:rPr>
          <w:rFonts w:ascii="方正仿宋简体" w:hAnsi="宋体" w:eastAsia="方正仿宋简体" w:cs="宋体"/>
          <w:color w:val="404040"/>
          <w:sz w:val="28"/>
          <w:szCs w:val="28"/>
          <w:highlight w:val="none"/>
        </w:rPr>
      </w:pPr>
      <w:r>
        <w:rPr>
          <w:rFonts w:hint="eastAsia" w:ascii="黑体" w:hAnsi="黑体" w:eastAsia="黑体" w:cs="宋体"/>
          <w:b/>
          <w:bCs/>
          <w:color w:val="404040"/>
          <w:sz w:val="26"/>
          <w:highlight w:val="none"/>
        </w:rPr>
        <w:t>一、招标项目概况和范围</w:t>
      </w:r>
    </w:p>
    <w:p w14:paraId="591FA1B4">
      <w:pPr>
        <w:pStyle w:val="39"/>
        <w:numPr>
          <w:ilvl w:val="0"/>
          <w:numId w:val="1"/>
        </w:numPr>
        <w:adjustRightInd/>
        <w:snapToGrid/>
        <w:spacing w:after="0" w:line="480" w:lineRule="atLeast"/>
        <w:contextualSpacing w:val="0"/>
        <w:rPr>
          <w:rFonts w:ascii="宋体" w:hAnsi="宋体" w:eastAsia="宋体" w:cs="宋体"/>
          <w:b/>
          <w:bCs/>
          <w:color w:val="404040"/>
          <w:sz w:val="32"/>
          <w:szCs w:val="32"/>
          <w:highlight w:val="none"/>
        </w:rPr>
      </w:pPr>
      <w:r>
        <w:rPr>
          <w:rFonts w:hint="eastAsia" w:ascii="宋体" w:hAnsi="宋体" w:eastAsia="宋体" w:cs="宋体"/>
          <w:color w:val="404040"/>
          <w:sz w:val="26"/>
          <w:szCs w:val="26"/>
          <w:highlight w:val="none"/>
        </w:rPr>
        <w:t>项目名称：福建省肿瘤医院病理科监控设备采购项目招标采购</w:t>
      </w:r>
    </w:p>
    <w:p w14:paraId="3C0C5A25">
      <w:pPr>
        <w:pStyle w:val="39"/>
        <w:numPr>
          <w:ilvl w:val="0"/>
          <w:numId w:val="1"/>
        </w:numPr>
        <w:adjustRightInd/>
        <w:snapToGrid/>
        <w:spacing w:after="0" w:line="480" w:lineRule="atLeast"/>
        <w:contextualSpacing w:val="0"/>
        <w:rPr>
          <w:rFonts w:ascii="宋体" w:hAnsi="宋体" w:eastAsia="宋体" w:cs="宋体"/>
          <w:b/>
          <w:bCs/>
          <w:color w:val="404040"/>
          <w:sz w:val="32"/>
          <w:szCs w:val="32"/>
          <w:highlight w:val="none"/>
        </w:rPr>
      </w:pPr>
      <w:r>
        <w:rPr>
          <w:rFonts w:hint="eastAsia" w:ascii="宋体" w:hAnsi="宋体" w:eastAsia="宋体" w:cs="宋体"/>
          <w:color w:val="404040"/>
          <w:sz w:val="26"/>
          <w:szCs w:val="26"/>
          <w:highlight w:val="none"/>
        </w:rPr>
        <w:t>项目地点：福马路420号。</w:t>
      </w:r>
    </w:p>
    <w:p w14:paraId="232D7658">
      <w:pPr>
        <w:pStyle w:val="39"/>
        <w:numPr>
          <w:ilvl w:val="0"/>
          <w:numId w:val="1"/>
        </w:numPr>
        <w:adjustRightInd/>
        <w:snapToGrid/>
        <w:spacing w:after="0" w:line="480" w:lineRule="atLeast"/>
        <w:contextualSpacing w:val="0"/>
        <w:rPr>
          <w:rFonts w:ascii="宋体" w:hAnsi="宋体" w:eastAsia="宋体" w:cs="宋体"/>
          <w:b/>
          <w:bCs/>
          <w:color w:val="404040"/>
          <w:sz w:val="32"/>
          <w:szCs w:val="32"/>
          <w:highlight w:val="none"/>
        </w:rPr>
      </w:pPr>
      <w:r>
        <w:rPr>
          <w:rFonts w:hint="eastAsia" w:ascii="宋体" w:hAnsi="宋体" w:eastAsia="宋体" w:cs="宋体"/>
          <w:color w:val="404040"/>
          <w:sz w:val="26"/>
          <w:szCs w:val="26"/>
          <w:highlight w:val="none"/>
        </w:rPr>
        <w:t>招标范围和内容：详见本项目</w:t>
      </w:r>
      <w:r>
        <w:rPr>
          <w:rFonts w:hint="eastAsia" w:ascii="宋体" w:hAnsi="宋体" w:eastAsia="宋体" w:cs="宋体"/>
          <w:color w:val="404040"/>
          <w:sz w:val="26"/>
          <w:szCs w:val="26"/>
          <w:highlight w:val="none"/>
          <w:lang w:val="en-US" w:eastAsia="zh-CN"/>
        </w:rPr>
        <w:t>采购</w:t>
      </w:r>
      <w:r>
        <w:rPr>
          <w:rFonts w:hint="eastAsia" w:ascii="宋体" w:hAnsi="宋体" w:eastAsia="宋体" w:cs="宋体"/>
          <w:color w:val="404040"/>
          <w:sz w:val="26"/>
          <w:szCs w:val="26"/>
          <w:highlight w:val="none"/>
        </w:rPr>
        <w:t>清单。</w:t>
      </w:r>
    </w:p>
    <w:p w14:paraId="163C0362">
      <w:pPr>
        <w:pStyle w:val="39"/>
        <w:numPr>
          <w:ilvl w:val="0"/>
          <w:numId w:val="1"/>
        </w:numPr>
        <w:adjustRightInd/>
        <w:snapToGrid/>
        <w:spacing w:after="0" w:line="480" w:lineRule="atLeast"/>
        <w:contextualSpacing w:val="0"/>
        <w:rPr>
          <w:rFonts w:ascii="宋体" w:hAnsi="宋体" w:eastAsia="宋体" w:cs="宋体"/>
          <w:b/>
          <w:bCs/>
          <w:color w:val="404040"/>
          <w:sz w:val="32"/>
          <w:szCs w:val="32"/>
          <w:highlight w:val="none"/>
        </w:rPr>
      </w:pPr>
      <w:r>
        <w:rPr>
          <w:rFonts w:hint="eastAsia" w:ascii="宋体" w:hAnsi="宋体" w:eastAsia="宋体" w:cs="宋体"/>
          <w:color w:val="404040"/>
          <w:sz w:val="26"/>
          <w:szCs w:val="26"/>
          <w:highlight w:val="none"/>
        </w:rPr>
        <w:t>承包方式：包工包料。</w:t>
      </w:r>
    </w:p>
    <w:p w14:paraId="01FEEC4A">
      <w:pPr>
        <w:pStyle w:val="39"/>
        <w:numPr>
          <w:ilvl w:val="0"/>
          <w:numId w:val="1"/>
        </w:numPr>
        <w:adjustRightInd/>
        <w:snapToGrid/>
        <w:spacing w:after="0" w:line="480" w:lineRule="atLeast"/>
        <w:contextualSpacing w:val="0"/>
        <w:rPr>
          <w:rFonts w:hint="eastAsia" w:ascii="宋体" w:hAnsi="宋体" w:eastAsia="宋体" w:cs="宋体"/>
          <w:color w:val="404040"/>
          <w:sz w:val="26"/>
          <w:szCs w:val="26"/>
          <w:highlight w:val="none"/>
        </w:rPr>
      </w:pPr>
      <w:r>
        <w:rPr>
          <w:rFonts w:hint="eastAsia" w:ascii="宋体" w:hAnsi="宋体" w:eastAsia="宋体" w:cs="宋体"/>
          <w:color w:val="404040"/>
          <w:sz w:val="26"/>
          <w:szCs w:val="26"/>
          <w:highlight w:val="none"/>
        </w:rPr>
        <w:t>工期要求：合同签订后，接甲方通知后，</w:t>
      </w:r>
      <w:r>
        <w:rPr>
          <w:rFonts w:hint="eastAsia" w:ascii="宋体" w:hAnsi="宋体" w:eastAsia="宋体" w:cs="宋体"/>
          <w:color w:val="404040"/>
          <w:sz w:val="26"/>
          <w:szCs w:val="26"/>
          <w:highlight w:val="none"/>
          <w:lang w:val="en-US" w:eastAsia="zh-CN"/>
        </w:rPr>
        <w:t>35</w:t>
      </w:r>
      <w:r>
        <w:rPr>
          <w:rFonts w:hint="eastAsia" w:ascii="宋体" w:hAnsi="宋体" w:eastAsia="宋体" w:cs="宋体"/>
          <w:color w:val="404040"/>
          <w:sz w:val="26"/>
          <w:szCs w:val="26"/>
          <w:highlight w:val="none"/>
        </w:rPr>
        <w:t>个工作日内完工，要求不影响医院的正常工作。</w:t>
      </w:r>
    </w:p>
    <w:p w14:paraId="159ADFC0">
      <w:pPr>
        <w:pStyle w:val="39"/>
        <w:numPr>
          <w:ilvl w:val="0"/>
          <w:numId w:val="1"/>
        </w:numPr>
        <w:adjustRightInd/>
        <w:snapToGrid/>
        <w:spacing w:after="0" w:line="480" w:lineRule="atLeast"/>
        <w:contextualSpacing w:val="0"/>
        <w:rPr>
          <w:rFonts w:ascii="宋体" w:hAnsi="宋体" w:eastAsia="宋体" w:cs="宋体"/>
          <w:b/>
          <w:bCs/>
          <w:color w:val="404040"/>
          <w:sz w:val="32"/>
          <w:szCs w:val="32"/>
          <w:highlight w:val="none"/>
        </w:rPr>
      </w:pPr>
      <w:r>
        <w:rPr>
          <w:rFonts w:hint="eastAsia" w:ascii="宋体" w:hAnsi="宋体" w:eastAsia="宋体" w:cs="宋体"/>
          <w:color w:val="404040"/>
          <w:sz w:val="26"/>
          <w:szCs w:val="26"/>
          <w:highlight w:val="none"/>
        </w:rPr>
        <w:t>控制价：</w:t>
      </w:r>
      <w:r>
        <w:rPr>
          <w:rFonts w:hint="eastAsia" w:ascii="宋体" w:hAnsi="宋体" w:eastAsia="宋体" w:cs="宋体"/>
          <w:color w:val="404040"/>
          <w:sz w:val="26"/>
          <w:szCs w:val="26"/>
          <w:highlight w:val="none"/>
          <w:lang w:val="en-US" w:eastAsia="zh-CN"/>
        </w:rPr>
        <w:t>23.6</w:t>
      </w:r>
      <w:r>
        <w:rPr>
          <w:rFonts w:hint="eastAsia" w:ascii="宋体" w:hAnsi="宋体" w:eastAsia="宋体" w:cs="宋体"/>
          <w:color w:val="404040"/>
          <w:sz w:val="26"/>
          <w:szCs w:val="26"/>
          <w:highlight w:val="none"/>
        </w:rPr>
        <w:t>万元。</w:t>
      </w:r>
    </w:p>
    <w:p w14:paraId="70EDBC92">
      <w:pPr>
        <w:pStyle w:val="39"/>
        <w:numPr>
          <w:ilvl w:val="0"/>
          <w:numId w:val="1"/>
        </w:numPr>
        <w:adjustRightInd/>
        <w:snapToGrid/>
        <w:spacing w:after="0" w:line="480" w:lineRule="atLeast"/>
        <w:contextualSpacing w:val="0"/>
        <w:rPr>
          <w:rFonts w:ascii="宋体" w:hAnsi="宋体" w:eastAsia="宋体" w:cs="宋体"/>
          <w:b/>
          <w:bCs/>
          <w:color w:val="404040"/>
          <w:sz w:val="32"/>
          <w:szCs w:val="32"/>
          <w:highlight w:val="none"/>
        </w:rPr>
      </w:pPr>
      <w:r>
        <w:rPr>
          <w:rFonts w:hint="eastAsia" w:ascii="宋体" w:hAnsi="宋体" w:eastAsia="宋体" w:cs="宋体"/>
          <w:color w:val="404040"/>
          <w:sz w:val="26"/>
          <w:szCs w:val="26"/>
          <w:highlight w:val="none"/>
        </w:rPr>
        <w:t>质保期：壹年，自工程竣工验收合格之日算起。</w:t>
      </w:r>
      <w:bookmarkStart w:id="0" w:name="_GoBack"/>
      <w:bookmarkEnd w:id="0"/>
    </w:p>
    <w:p w14:paraId="005AC7E8">
      <w:pPr>
        <w:adjustRightInd/>
        <w:snapToGrid/>
        <w:spacing w:after="0" w:line="480" w:lineRule="atLeast"/>
        <w:rPr>
          <w:rFonts w:ascii="宋体" w:hAnsi="宋体" w:eastAsia="宋体" w:cs="宋体"/>
          <w:b/>
          <w:bCs/>
          <w:color w:val="404040"/>
          <w:sz w:val="32"/>
          <w:szCs w:val="32"/>
          <w:highlight w:val="none"/>
        </w:rPr>
      </w:pPr>
      <w:r>
        <w:rPr>
          <w:rFonts w:hint="eastAsia" w:ascii="黑体" w:hAnsi="黑体" w:eastAsia="黑体" w:cs="宋体"/>
          <w:b/>
          <w:bCs/>
          <w:color w:val="404040"/>
          <w:sz w:val="26"/>
          <w:highlight w:val="none"/>
        </w:rPr>
        <w:t>二、投标人资格要求及审查办法</w:t>
      </w:r>
    </w:p>
    <w:p w14:paraId="2E887518">
      <w:pPr>
        <w:pStyle w:val="39"/>
        <w:numPr>
          <w:ilvl w:val="0"/>
          <w:numId w:val="2"/>
        </w:numPr>
        <w:adjustRightInd/>
        <w:snapToGrid/>
        <w:spacing w:after="0" w:line="480" w:lineRule="atLeast"/>
        <w:contextualSpacing w:val="0"/>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满足《中华人民共和国政府采购法》第二十二条规定。</w:t>
      </w:r>
    </w:p>
    <w:p w14:paraId="4C33E44B">
      <w:pPr>
        <w:pStyle w:val="39"/>
        <w:numPr>
          <w:ilvl w:val="0"/>
          <w:numId w:val="2"/>
        </w:numPr>
        <w:adjustRightInd/>
        <w:snapToGrid/>
        <w:spacing w:after="0" w:line="480" w:lineRule="atLeast"/>
        <w:contextualSpacing w:val="0"/>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落实政府采购政策需满足的资格要求。</w:t>
      </w:r>
    </w:p>
    <w:p w14:paraId="3B6C8210">
      <w:pPr>
        <w:pStyle w:val="39"/>
        <w:numPr>
          <w:ilvl w:val="0"/>
          <w:numId w:val="2"/>
        </w:numPr>
        <w:adjustRightInd/>
        <w:snapToGrid/>
        <w:spacing w:after="0" w:line="480" w:lineRule="atLeast"/>
        <w:contextualSpacing w:val="0"/>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委托代表人资格证明书（附法人及委托人身份证）。</w:t>
      </w:r>
    </w:p>
    <w:p w14:paraId="4F850881">
      <w:pPr>
        <w:pStyle w:val="39"/>
        <w:numPr>
          <w:ilvl w:val="0"/>
          <w:numId w:val="2"/>
        </w:numPr>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财务状况报告（最近一个年度经审计的财务报告或资信证明或投标担保函）；</w:t>
      </w:r>
    </w:p>
    <w:p w14:paraId="4F22703A">
      <w:pPr>
        <w:pStyle w:val="39"/>
        <w:numPr>
          <w:ilvl w:val="0"/>
          <w:numId w:val="2"/>
        </w:numPr>
        <w:adjustRightInd/>
        <w:snapToGrid/>
        <w:spacing w:after="0" w:line="480" w:lineRule="atLeast"/>
        <w:contextualSpacing w:val="0"/>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参加本次活动前三年内，在经营活动中没有重大违法违规记录的承诺。</w:t>
      </w:r>
    </w:p>
    <w:p w14:paraId="5C176F4E">
      <w:pPr>
        <w:pStyle w:val="39"/>
        <w:numPr>
          <w:ilvl w:val="0"/>
          <w:numId w:val="2"/>
        </w:numPr>
        <w:adjustRightInd/>
        <w:snapToGrid/>
        <w:spacing w:after="0" w:line="480" w:lineRule="atLeast"/>
        <w:contextualSpacing w:val="0"/>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资格审查采用方式：资格后审。</w:t>
      </w:r>
    </w:p>
    <w:p w14:paraId="040C4DF0">
      <w:pPr>
        <w:pStyle w:val="39"/>
        <w:numPr>
          <w:ilvl w:val="0"/>
          <w:numId w:val="2"/>
        </w:numPr>
        <w:adjustRightInd/>
        <w:snapToGrid/>
        <w:spacing w:after="0" w:line="480" w:lineRule="atLeast"/>
        <w:contextualSpacing w:val="0"/>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本招标项目不接受联合体投标，不接受备选投标方案，不允许分包。</w:t>
      </w:r>
    </w:p>
    <w:p w14:paraId="72EBFBAD">
      <w:pPr>
        <w:pStyle w:val="39"/>
        <w:numPr>
          <w:ilvl w:val="0"/>
          <w:numId w:val="2"/>
        </w:numPr>
        <w:adjustRightInd/>
        <w:snapToGrid/>
        <w:spacing w:after="0" w:line="480" w:lineRule="atLeast"/>
        <w:contextualSpacing w:val="0"/>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投标人应通过“信用中国（</w:t>
      </w:r>
      <w:r>
        <w:rPr>
          <w:highlight w:val="none"/>
        </w:rPr>
        <w:fldChar w:fldCharType="begin"/>
      </w:r>
      <w:r>
        <w:rPr>
          <w:highlight w:val="none"/>
        </w:rPr>
        <w:instrText xml:space="preserve"> HYPERLINK "http://www.creditchina.gov.cn/" </w:instrText>
      </w:r>
      <w:r>
        <w:rPr>
          <w:highlight w:val="none"/>
        </w:rPr>
        <w:fldChar w:fldCharType="separate"/>
      </w:r>
      <w:r>
        <w:rPr>
          <w:rFonts w:hint="eastAsia"/>
          <w:color w:val="404040"/>
          <w:highlight w:val="none"/>
        </w:rPr>
        <w:t>www.creditchina.gov.cn</w:t>
      </w:r>
      <w:r>
        <w:rPr>
          <w:rFonts w:hint="eastAsia"/>
          <w:color w:val="404040"/>
          <w:highlight w:val="none"/>
        </w:rPr>
        <w:fldChar w:fldCharType="end"/>
      </w:r>
      <w:r>
        <w:rPr>
          <w:rFonts w:hint="eastAsia" w:ascii="宋体" w:hAnsi="宋体" w:eastAsia="宋体" w:cs="宋体"/>
          <w:color w:val="404040"/>
          <w:sz w:val="26"/>
          <w:szCs w:val="26"/>
          <w:highlight w:val="none"/>
        </w:rPr>
        <w:t>)”、“中国政府采购网(</w:t>
      </w:r>
      <w:r>
        <w:rPr>
          <w:highlight w:val="none"/>
        </w:rPr>
        <w:fldChar w:fldCharType="begin"/>
      </w:r>
      <w:r>
        <w:rPr>
          <w:highlight w:val="none"/>
        </w:rPr>
        <w:instrText xml:space="preserve"> HYPERLINK "http://www.ccgp.gov.cn" </w:instrText>
      </w:r>
      <w:r>
        <w:rPr>
          <w:highlight w:val="none"/>
        </w:rPr>
        <w:fldChar w:fldCharType="separate"/>
      </w:r>
      <w:r>
        <w:rPr>
          <w:rFonts w:hint="eastAsia"/>
          <w:color w:val="404040"/>
          <w:highlight w:val="none"/>
        </w:rPr>
        <w:t>www.ccgp.gov.cn</w:t>
      </w:r>
      <w:r>
        <w:rPr>
          <w:rFonts w:hint="eastAsia"/>
          <w:color w:val="404040"/>
          <w:highlight w:val="none"/>
        </w:rPr>
        <w:fldChar w:fldCharType="end"/>
      </w:r>
      <w:r>
        <w:rPr>
          <w:rFonts w:hint="eastAsia" w:ascii="宋体" w:hAnsi="宋体" w:eastAsia="宋体" w:cs="宋体"/>
          <w:color w:val="404040"/>
          <w:sz w:val="26"/>
          <w:szCs w:val="26"/>
          <w:highlight w:val="none"/>
        </w:rPr>
        <w:t>)”查询并打印相应的信用记录。</w:t>
      </w:r>
    </w:p>
    <w:p w14:paraId="24E18B12">
      <w:pPr>
        <w:pStyle w:val="39"/>
        <w:numPr>
          <w:ilvl w:val="0"/>
          <w:numId w:val="2"/>
        </w:numPr>
        <w:adjustRightInd/>
        <w:snapToGrid/>
        <w:spacing w:after="0" w:line="480" w:lineRule="atLeast"/>
        <w:contextualSpacing w:val="0"/>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投标人应对投标文件资料的真实性负责，招标人在授予合同之前有权对其投标文件资料进行核实，如发现所提交的资料不真实，招标人将视其为以弄虚作假方式骗取中标，其中标无效，若给招标人造成损失的，应依法承担赔偿责任，并列入医院供应商黑名单，院方有权在今后采购活动中拒绝接受其投标材料。</w:t>
      </w:r>
    </w:p>
    <w:p w14:paraId="47337C22">
      <w:pPr>
        <w:pStyle w:val="39"/>
        <w:numPr>
          <w:ilvl w:val="0"/>
          <w:numId w:val="2"/>
        </w:numPr>
        <w:adjustRightInd/>
        <w:snapToGrid/>
        <w:spacing w:after="0" w:line="480" w:lineRule="atLeast"/>
        <w:contextualSpacing w:val="0"/>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现场勘察：本次招标，采购人不统一组织勘察现场。各潜在投标人若需要查勘现场，应事先与采购人联系现场勘察事宜。</w:t>
      </w:r>
    </w:p>
    <w:p w14:paraId="66B1471F">
      <w:pPr>
        <w:pStyle w:val="39"/>
        <w:numPr>
          <w:ilvl w:val="0"/>
          <w:numId w:val="2"/>
        </w:numPr>
        <w:adjustRightInd/>
        <w:snapToGrid/>
        <w:spacing w:after="0" w:line="480" w:lineRule="atLeast"/>
        <w:contextualSpacing w:val="0"/>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上述提供材料均须加盖公章。</w:t>
      </w:r>
    </w:p>
    <w:p w14:paraId="56F5F154">
      <w:pPr>
        <w:adjustRightInd/>
        <w:snapToGrid/>
        <w:spacing w:before="150" w:after="0" w:line="480" w:lineRule="atLeast"/>
        <w:ind w:firstLine="520" w:firstLineChars="200"/>
        <w:jc w:val="both"/>
        <w:rPr>
          <w:rFonts w:hint="eastAsia" w:ascii="宋体" w:hAnsi="宋体" w:eastAsia="宋体" w:cs="宋体"/>
          <w:color w:val="404040"/>
          <w:sz w:val="26"/>
          <w:szCs w:val="26"/>
          <w:highlight w:val="none"/>
        </w:rPr>
      </w:pPr>
      <w:r>
        <w:rPr>
          <w:rFonts w:hint="eastAsia" w:cs="宋体" w:asciiTheme="minorEastAsia" w:hAnsiTheme="minorEastAsia" w:eastAsiaTheme="minorEastAsia"/>
          <w:color w:val="404040"/>
          <w:sz w:val="26"/>
          <w:szCs w:val="26"/>
          <w:highlight w:val="none"/>
        </w:rPr>
        <w:t>备注：本项目基本资格条件采取“信用承诺制”，投标人提供资格承诺函(格式详见附件)的即可参加采购活动，在投标文件中无需再提供财务状况报告、依法缴纳税收和社会保障资金的相关证明材料。投标人可自行选择是否提供资格承诺函，若不提供资格承诺函的，应按招标文件要求提供相应的证明材料。投标人应当遵循诚实信用原则，不得作虚假承诺，投标人承诺不实的，属于提供虚假材料谋取中标、成交，应依法承担相应的法律责任。</w:t>
      </w:r>
    </w:p>
    <w:p w14:paraId="6EC12606">
      <w:pPr>
        <w:pStyle w:val="39"/>
        <w:numPr>
          <w:ilvl w:val="0"/>
          <w:numId w:val="0"/>
        </w:numPr>
        <w:adjustRightInd/>
        <w:snapToGrid/>
        <w:spacing w:after="0" w:line="480" w:lineRule="atLeast"/>
        <w:ind w:left="390" w:leftChars="0"/>
        <w:contextualSpacing w:val="0"/>
        <w:rPr>
          <w:rFonts w:ascii="宋体" w:hAnsi="宋体" w:eastAsia="宋体" w:cs="宋体"/>
          <w:color w:val="404040"/>
          <w:sz w:val="26"/>
          <w:szCs w:val="26"/>
          <w:highlight w:val="none"/>
        </w:rPr>
      </w:pPr>
    </w:p>
    <w:p w14:paraId="04F23BA6">
      <w:pPr>
        <w:adjustRightInd/>
        <w:snapToGrid/>
        <w:spacing w:before="150" w:after="0" w:line="480" w:lineRule="atLeast"/>
        <w:jc w:val="both"/>
        <w:rPr>
          <w:rFonts w:ascii="方正仿宋简体" w:hAnsi="宋体" w:eastAsia="方正仿宋简体" w:cs="宋体"/>
          <w:color w:val="404040"/>
          <w:sz w:val="28"/>
          <w:szCs w:val="28"/>
          <w:highlight w:val="none"/>
        </w:rPr>
      </w:pPr>
      <w:r>
        <w:rPr>
          <w:rFonts w:hint="eastAsia" w:ascii="黑体" w:hAnsi="黑体" w:eastAsia="黑体" w:cs="宋体"/>
          <w:b/>
          <w:bCs/>
          <w:color w:val="404040"/>
          <w:sz w:val="26"/>
          <w:highlight w:val="none"/>
        </w:rPr>
        <w:t>三、招标文件的获取</w:t>
      </w:r>
    </w:p>
    <w:p w14:paraId="326E6507">
      <w:pPr>
        <w:adjustRightInd/>
        <w:snapToGrid/>
        <w:spacing w:before="150" w:after="0" w:line="480" w:lineRule="atLeast"/>
        <w:jc w:val="both"/>
        <w:rPr>
          <w:rFonts w:ascii="方正仿宋简体" w:hAnsi="宋体" w:eastAsia="方正仿宋简体" w:cs="宋体"/>
          <w:color w:val="404040"/>
          <w:sz w:val="28"/>
          <w:szCs w:val="28"/>
          <w:highlight w:val="none"/>
        </w:rPr>
      </w:pPr>
      <w:r>
        <w:rPr>
          <w:rFonts w:hint="eastAsia" w:ascii="宋体" w:hAnsi="宋体" w:eastAsia="宋体" w:cs="宋体"/>
          <w:color w:val="404040"/>
          <w:sz w:val="26"/>
          <w:szCs w:val="26"/>
          <w:highlight w:val="none"/>
        </w:rPr>
        <w:t>1、本招标项目不采用电子招投标。</w:t>
      </w:r>
    </w:p>
    <w:p w14:paraId="14C12172">
      <w:pPr>
        <w:adjustRightInd/>
        <w:snapToGrid/>
        <w:spacing w:before="150" w:after="0" w:line="480" w:lineRule="atLeast"/>
        <w:jc w:val="both"/>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2、凡有意参加投标者，均可在福建省肿瘤医院官网（</w:t>
      </w:r>
      <w:r>
        <w:rPr>
          <w:rFonts w:ascii="宋体" w:hAnsi="宋体" w:eastAsia="宋体" w:cs="宋体"/>
          <w:color w:val="404040"/>
          <w:sz w:val="26"/>
          <w:szCs w:val="26"/>
          <w:highlight w:val="none"/>
        </w:rPr>
        <w:t>https://www.fjzl.com.cn</w:t>
      </w:r>
      <w:r>
        <w:rPr>
          <w:rFonts w:hint="eastAsia" w:ascii="宋体" w:hAnsi="宋体" w:eastAsia="宋体" w:cs="宋体"/>
          <w:color w:val="404040"/>
          <w:sz w:val="26"/>
          <w:szCs w:val="26"/>
          <w:highlight w:val="none"/>
        </w:rPr>
        <w:t>）下载与本项目相关的招标信息（包括招标文件、招标文件补充说明等），并于</w:t>
      </w:r>
      <w:r>
        <w:rPr>
          <w:rFonts w:hint="eastAsia" w:ascii="宋体" w:hAnsi="宋体" w:eastAsia="宋体" w:cs="宋体"/>
          <w:color w:val="404040"/>
          <w:sz w:val="26"/>
          <w:szCs w:val="26"/>
          <w:highlight w:val="none"/>
          <w:lang w:val="en-US" w:eastAsia="zh-CN"/>
        </w:rPr>
        <w:t>2025</w:t>
      </w:r>
      <w:r>
        <w:rPr>
          <w:rFonts w:hint="eastAsia" w:ascii="宋体" w:hAnsi="宋体" w:eastAsia="宋体" w:cs="宋体"/>
          <w:color w:val="404040"/>
          <w:sz w:val="26"/>
          <w:szCs w:val="26"/>
          <w:highlight w:val="none"/>
        </w:rPr>
        <w:t>年</w:t>
      </w:r>
      <w:r>
        <w:rPr>
          <w:rFonts w:hint="eastAsia" w:ascii="宋体" w:hAnsi="宋体" w:eastAsia="宋体" w:cs="宋体"/>
          <w:color w:val="404040"/>
          <w:sz w:val="26"/>
          <w:szCs w:val="26"/>
          <w:highlight w:val="none"/>
          <w:lang w:val="en-US" w:eastAsia="zh-CN"/>
        </w:rPr>
        <w:t>11</w:t>
      </w:r>
      <w:r>
        <w:rPr>
          <w:rFonts w:hint="eastAsia" w:ascii="宋体" w:hAnsi="宋体" w:eastAsia="宋体" w:cs="宋体"/>
          <w:color w:val="404040"/>
          <w:sz w:val="26"/>
          <w:szCs w:val="26"/>
          <w:highlight w:val="none"/>
        </w:rPr>
        <w:t>月</w:t>
      </w:r>
      <w:r>
        <w:rPr>
          <w:rFonts w:hint="eastAsia" w:ascii="宋体" w:hAnsi="宋体" w:eastAsia="宋体" w:cs="宋体"/>
          <w:color w:val="404040"/>
          <w:sz w:val="26"/>
          <w:szCs w:val="26"/>
          <w:highlight w:val="none"/>
          <w:lang w:val="en-US" w:eastAsia="zh-CN"/>
        </w:rPr>
        <w:t>21</w:t>
      </w:r>
      <w:r>
        <w:rPr>
          <w:rFonts w:hint="eastAsia" w:ascii="宋体" w:hAnsi="宋体" w:eastAsia="宋体" w:cs="宋体"/>
          <w:color w:val="404040"/>
          <w:sz w:val="26"/>
          <w:szCs w:val="26"/>
          <w:highlight w:val="none"/>
        </w:rPr>
        <w:t>日至2024年</w:t>
      </w:r>
      <w:r>
        <w:rPr>
          <w:rFonts w:hint="eastAsia" w:ascii="宋体" w:hAnsi="宋体" w:eastAsia="宋体" w:cs="宋体"/>
          <w:color w:val="404040"/>
          <w:sz w:val="26"/>
          <w:szCs w:val="26"/>
          <w:highlight w:val="none"/>
          <w:lang w:val="en-US" w:eastAsia="zh-CN"/>
        </w:rPr>
        <w:t>11</w:t>
      </w:r>
      <w:r>
        <w:rPr>
          <w:rFonts w:hint="eastAsia" w:ascii="宋体" w:hAnsi="宋体" w:eastAsia="宋体" w:cs="宋体"/>
          <w:color w:val="404040"/>
          <w:sz w:val="26"/>
          <w:szCs w:val="26"/>
          <w:highlight w:val="none"/>
        </w:rPr>
        <w:t>月</w:t>
      </w:r>
      <w:r>
        <w:rPr>
          <w:rFonts w:hint="eastAsia" w:ascii="宋体" w:hAnsi="宋体" w:eastAsia="宋体" w:cs="宋体"/>
          <w:color w:val="404040"/>
          <w:sz w:val="26"/>
          <w:szCs w:val="26"/>
          <w:highlight w:val="none"/>
          <w:lang w:val="en-US" w:eastAsia="zh-CN"/>
        </w:rPr>
        <w:t>27</w:t>
      </w:r>
      <w:r>
        <w:rPr>
          <w:rFonts w:hint="eastAsia" w:ascii="宋体" w:hAnsi="宋体" w:eastAsia="宋体" w:cs="宋体"/>
          <w:color w:val="404040"/>
          <w:sz w:val="26"/>
          <w:szCs w:val="26"/>
          <w:highlight w:val="none"/>
        </w:rPr>
        <w:t>日(节假日除外)8：00-12：00或14：</w:t>
      </w:r>
      <w:r>
        <w:rPr>
          <w:rFonts w:hint="eastAsia" w:ascii="宋体" w:hAnsi="宋体" w:eastAsia="宋体" w:cs="宋体"/>
          <w:color w:val="404040"/>
          <w:sz w:val="26"/>
          <w:szCs w:val="26"/>
          <w:highlight w:val="none"/>
          <w:lang w:val="en-US" w:eastAsia="zh-CN"/>
        </w:rPr>
        <w:t>0</w:t>
      </w:r>
      <w:r>
        <w:rPr>
          <w:rFonts w:hint="eastAsia" w:ascii="宋体" w:hAnsi="宋体" w:eastAsia="宋体" w:cs="宋体"/>
          <w:color w:val="404040"/>
          <w:sz w:val="26"/>
          <w:szCs w:val="26"/>
          <w:highlight w:val="none"/>
        </w:rPr>
        <w:t>0-17：</w:t>
      </w:r>
      <w:r>
        <w:rPr>
          <w:rFonts w:hint="eastAsia" w:ascii="宋体" w:hAnsi="宋体" w:eastAsia="宋体" w:cs="宋体"/>
          <w:color w:val="404040"/>
          <w:sz w:val="26"/>
          <w:szCs w:val="26"/>
          <w:highlight w:val="none"/>
          <w:lang w:val="en-US" w:eastAsia="zh-CN"/>
        </w:rPr>
        <w:t>0</w:t>
      </w:r>
      <w:r>
        <w:rPr>
          <w:rFonts w:hint="eastAsia" w:ascii="宋体" w:hAnsi="宋体" w:eastAsia="宋体" w:cs="宋体"/>
          <w:color w:val="404040"/>
          <w:sz w:val="26"/>
          <w:szCs w:val="26"/>
          <w:highlight w:val="none"/>
        </w:rPr>
        <w:t>0，携带加盖公章的营业执照复印件、介绍信前往福建省肿瘤医院总务科报名。</w:t>
      </w:r>
    </w:p>
    <w:p w14:paraId="7FDEA402">
      <w:pPr>
        <w:adjustRightInd/>
        <w:snapToGrid/>
        <w:spacing w:before="150" w:after="0" w:line="480" w:lineRule="atLeast"/>
        <w:jc w:val="both"/>
        <w:rPr>
          <w:rFonts w:ascii="方正仿宋简体" w:hAnsi="宋体" w:eastAsia="方正仿宋简体" w:cs="宋体"/>
          <w:color w:val="404040"/>
          <w:sz w:val="28"/>
          <w:szCs w:val="28"/>
          <w:highlight w:val="none"/>
        </w:rPr>
      </w:pPr>
      <w:r>
        <w:rPr>
          <w:rFonts w:hint="eastAsia" w:ascii="宋体" w:hAnsi="宋体" w:eastAsia="宋体" w:cs="宋体"/>
          <w:color w:val="404040"/>
          <w:sz w:val="26"/>
          <w:szCs w:val="26"/>
          <w:highlight w:val="none"/>
        </w:rPr>
        <w:t>项目联系人：陈女士联系电话：0591-62752801</w:t>
      </w:r>
    </w:p>
    <w:p w14:paraId="79170805">
      <w:pPr>
        <w:adjustRightInd/>
        <w:snapToGrid/>
        <w:spacing w:before="150" w:after="0" w:line="480" w:lineRule="atLeast"/>
        <w:jc w:val="both"/>
        <w:rPr>
          <w:rFonts w:ascii="方正仿宋简体" w:hAnsi="宋体" w:eastAsia="方正仿宋简体" w:cs="宋体"/>
          <w:color w:val="404040"/>
          <w:sz w:val="28"/>
          <w:szCs w:val="28"/>
          <w:highlight w:val="none"/>
        </w:rPr>
      </w:pPr>
      <w:r>
        <w:rPr>
          <w:rFonts w:hint="eastAsia" w:ascii="黑体" w:hAnsi="黑体" w:eastAsia="黑体" w:cs="宋体"/>
          <w:b/>
          <w:bCs/>
          <w:color w:val="404040"/>
          <w:sz w:val="26"/>
          <w:highlight w:val="none"/>
        </w:rPr>
        <w:t>四、答疑截止时间</w:t>
      </w:r>
    </w:p>
    <w:p w14:paraId="4DF46170">
      <w:pPr>
        <w:adjustRightInd/>
        <w:snapToGrid/>
        <w:spacing w:before="150" w:after="0" w:line="480" w:lineRule="atLeast"/>
        <w:ind w:firstLine="480"/>
        <w:jc w:val="both"/>
        <w:rPr>
          <w:rFonts w:ascii="方正仿宋简体" w:hAnsi="宋体" w:eastAsia="方正仿宋简体" w:cs="宋体"/>
          <w:color w:val="404040"/>
          <w:sz w:val="28"/>
          <w:szCs w:val="28"/>
          <w:highlight w:val="none"/>
        </w:rPr>
      </w:pPr>
      <w:r>
        <w:rPr>
          <w:rFonts w:hint="eastAsia" w:ascii="宋体" w:hAnsi="宋体" w:eastAsia="宋体" w:cs="宋体"/>
          <w:color w:val="404040"/>
          <w:sz w:val="26"/>
          <w:szCs w:val="26"/>
          <w:highlight w:val="none"/>
        </w:rPr>
        <w:t>投标人若要求澄清招标文件，应在</w:t>
      </w:r>
      <w:r>
        <w:rPr>
          <w:rFonts w:hint="eastAsia" w:ascii="宋体" w:hAnsi="宋体" w:eastAsia="宋体" w:cs="宋体"/>
          <w:color w:val="404040"/>
          <w:sz w:val="26"/>
          <w:szCs w:val="26"/>
          <w:highlight w:val="none"/>
          <w:lang w:val="en-US" w:eastAsia="zh-CN"/>
        </w:rPr>
        <w:t>报名</w:t>
      </w:r>
      <w:r>
        <w:rPr>
          <w:rFonts w:hint="eastAsia" w:ascii="宋体" w:hAnsi="宋体" w:eastAsia="宋体" w:cs="宋体"/>
          <w:color w:val="404040"/>
          <w:sz w:val="26"/>
          <w:szCs w:val="26"/>
          <w:highlight w:val="none"/>
        </w:rPr>
        <w:t>截止时间</w:t>
      </w:r>
      <w:r>
        <w:rPr>
          <w:rFonts w:hint="eastAsia" w:ascii="宋体" w:hAnsi="宋体" w:eastAsia="宋体" w:cs="宋体"/>
          <w:color w:val="404040"/>
          <w:sz w:val="26"/>
          <w:szCs w:val="26"/>
          <w:highlight w:val="none"/>
          <w:lang w:val="en-US" w:eastAsia="zh-CN"/>
        </w:rPr>
        <w:t>前</w:t>
      </w:r>
      <w:r>
        <w:rPr>
          <w:rFonts w:hint="eastAsia" w:ascii="宋体" w:hAnsi="宋体" w:eastAsia="宋体" w:cs="宋体"/>
          <w:color w:val="404040"/>
          <w:sz w:val="26"/>
          <w:szCs w:val="26"/>
          <w:highlight w:val="none"/>
        </w:rPr>
        <w:t>提出，招标人将随时解答。</w:t>
      </w:r>
    </w:p>
    <w:p w14:paraId="7EC32AAB">
      <w:pPr>
        <w:adjustRightInd/>
        <w:snapToGrid/>
        <w:spacing w:before="150" w:after="0" w:line="480" w:lineRule="atLeast"/>
        <w:jc w:val="both"/>
        <w:rPr>
          <w:rFonts w:ascii="方正仿宋简体" w:hAnsi="宋体" w:eastAsia="方正仿宋简体" w:cs="宋体"/>
          <w:color w:val="404040"/>
          <w:sz w:val="28"/>
          <w:szCs w:val="28"/>
          <w:highlight w:val="none"/>
        </w:rPr>
      </w:pPr>
      <w:r>
        <w:rPr>
          <w:rFonts w:hint="eastAsia" w:ascii="黑体" w:hAnsi="黑体" w:eastAsia="黑体" w:cs="宋体"/>
          <w:b/>
          <w:bCs/>
          <w:color w:val="404040"/>
          <w:sz w:val="26"/>
          <w:highlight w:val="none"/>
        </w:rPr>
        <w:t>五、投标文件的要求及递交</w:t>
      </w:r>
    </w:p>
    <w:p w14:paraId="37C82137">
      <w:pPr>
        <w:pStyle w:val="39"/>
        <w:numPr>
          <w:ilvl w:val="0"/>
          <w:numId w:val="3"/>
        </w:numPr>
        <w:adjustRightInd/>
        <w:snapToGrid/>
        <w:spacing w:after="0" w:line="480" w:lineRule="atLeast"/>
        <w:contextualSpacing w:val="0"/>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投标文件正本壹份</w:t>
      </w:r>
      <w:r>
        <w:rPr>
          <w:rFonts w:ascii="宋体" w:hAnsi="宋体" w:eastAsia="宋体" w:cs="宋体"/>
          <w:color w:val="404040"/>
          <w:sz w:val="26"/>
          <w:szCs w:val="26"/>
          <w:highlight w:val="none"/>
        </w:rPr>
        <w:t>,</w:t>
      </w:r>
      <w:r>
        <w:rPr>
          <w:rFonts w:hint="eastAsia" w:ascii="宋体" w:hAnsi="宋体" w:eastAsia="宋体" w:cs="宋体"/>
          <w:color w:val="404040"/>
          <w:sz w:val="26"/>
          <w:szCs w:val="26"/>
          <w:highlight w:val="none"/>
        </w:rPr>
        <w:t>副本壹份胶装并密封加盖投标人公章。投标文件未胶装密封将导致其投标文件被拒绝。</w:t>
      </w:r>
    </w:p>
    <w:p w14:paraId="5EAE0947">
      <w:pPr>
        <w:pStyle w:val="39"/>
        <w:numPr>
          <w:ilvl w:val="0"/>
          <w:numId w:val="3"/>
        </w:numPr>
        <w:adjustRightInd/>
        <w:snapToGrid/>
        <w:spacing w:after="0" w:line="480" w:lineRule="atLeast"/>
        <w:contextualSpacing w:val="0"/>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投标文件递交的截止时间：202</w:t>
      </w:r>
      <w:r>
        <w:rPr>
          <w:rFonts w:hint="eastAsia" w:ascii="宋体" w:hAnsi="宋体" w:eastAsia="宋体" w:cs="宋体"/>
          <w:color w:val="404040"/>
          <w:sz w:val="26"/>
          <w:szCs w:val="26"/>
          <w:highlight w:val="none"/>
          <w:lang w:val="en-US" w:eastAsia="zh-CN"/>
        </w:rPr>
        <w:t>5</w:t>
      </w:r>
      <w:r>
        <w:rPr>
          <w:rFonts w:hint="eastAsia" w:ascii="宋体" w:hAnsi="宋体" w:eastAsia="宋体" w:cs="宋体"/>
          <w:color w:val="404040"/>
          <w:sz w:val="26"/>
          <w:szCs w:val="26"/>
          <w:highlight w:val="none"/>
        </w:rPr>
        <w:t>年</w:t>
      </w:r>
      <w:r>
        <w:rPr>
          <w:rFonts w:hint="eastAsia" w:ascii="宋体" w:hAnsi="宋体" w:eastAsia="宋体" w:cs="宋体"/>
          <w:color w:val="404040"/>
          <w:sz w:val="26"/>
          <w:szCs w:val="26"/>
          <w:highlight w:val="none"/>
          <w:lang w:val="en-US" w:eastAsia="zh-CN"/>
        </w:rPr>
        <w:t>11</w:t>
      </w:r>
      <w:r>
        <w:rPr>
          <w:rFonts w:hint="eastAsia" w:ascii="宋体" w:hAnsi="宋体" w:eastAsia="宋体" w:cs="宋体"/>
          <w:color w:val="404040"/>
          <w:sz w:val="26"/>
          <w:szCs w:val="26"/>
          <w:highlight w:val="none"/>
        </w:rPr>
        <w:t>月2</w:t>
      </w:r>
      <w:r>
        <w:rPr>
          <w:rFonts w:hint="eastAsia" w:ascii="宋体" w:hAnsi="宋体" w:eastAsia="宋体" w:cs="宋体"/>
          <w:color w:val="404040"/>
          <w:sz w:val="26"/>
          <w:szCs w:val="26"/>
          <w:highlight w:val="none"/>
          <w:lang w:val="en-US" w:eastAsia="zh-CN"/>
        </w:rPr>
        <w:t>8</w:t>
      </w:r>
      <w:r>
        <w:rPr>
          <w:rFonts w:hint="eastAsia" w:ascii="宋体" w:hAnsi="宋体" w:eastAsia="宋体" w:cs="宋体"/>
          <w:color w:val="404040"/>
          <w:sz w:val="26"/>
          <w:szCs w:val="26"/>
          <w:highlight w:val="none"/>
        </w:rPr>
        <w:t>日</w:t>
      </w:r>
      <w:r>
        <w:rPr>
          <w:rFonts w:hint="eastAsia" w:ascii="宋体" w:hAnsi="宋体" w:eastAsia="宋体" w:cs="宋体"/>
          <w:color w:val="404040"/>
          <w:sz w:val="26"/>
          <w:szCs w:val="26"/>
          <w:highlight w:val="none"/>
          <w:lang w:val="en-US" w:eastAsia="zh-CN"/>
        </w:rPr>
        <w:t>9</w:t>
      </w:r>
      <w:r>
        <w:rPr>
          <w:rFonts w:hint="eastAsia" w:ascii="宋体" w:hAnsi="宋体" w:eastAsia="宋体" w:cs="宋体"/>
          <w:color w:val="404040"/>
          <w:sz w:val="26"/>
          <w:szCs w:val="26"/>
          <w:highlight w:val="none"/>
        </w:rPr>
        <w:t>:00，提交地点为福建省肿瘤医院总务科，未送达指定地点或逾期送达者拒收。</w:t>
      </w:r>
    </w:p>
    <w:p w14:paraId="274CA046">
      <w:pPr>
        <w:adjustRightInd/>
        <w:snapToGrid/>
        <w:spacing w:before="150" w:after="0" w:line="480" w:lineRule="atLeast"/>
        <w:jc w:val="both"/>
        <w:rPr>
          <w:rFonts w:ascii="黑体" w:hAnsi="黑体" w:eastAsia="黑体" w:cs="宋体"/>
          <w:b/>
          <w:bCs/>
          <w:color w:val="404040"/>
          <w:sz w:val="26"/>
          <w:highlight w:val="none"/>
        </w:rPr>
      </w:pPr>
      <w:r>
        <w:rPr>
          <w:rFonts w:hint="eastAsia" w:ascii="黑体" w:hAnsi="黑体" w:eastAsia="黑体" w:cs="宋体"/>
          <w:b/>
          <w:bCs/>
          <w:color w:val="404040"/>
          <w:sz w:val="26"/>
          <w:highlight w:val="none"/>
        </w:rPr>
        <w:t>六、开标评标时间地点</w:t>
      </w:r>
    </w:p>
    <w:p w14:paraId="7C5AB21E">
      <w:pPr>
        <w:adjustRightInd/>
        <w:snapToGrid/>
        <w:spacing w:before="150" w:after="0" w:line="480" w:lineRule="atLeast"/>
        <w:ind w:firstLine="390" w:firstLineChars="150"/>
        <w:jc w:val="both"/>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1、开标时间：202</w:t>
      </w:r>
      <w:r>
        <w:rPr>
          <w:rFonts w:hint="eastAsia" w:ascii="宋体" w:hAnsi="宋体" w:eastAsia="宋体" w:cs="宋体"/>
          <w:color w:val="404040"/>
          <w:sz w:val="26"/>
          <w:szCs w:val="26"/>
          <w:highlight w:val="none"/>
          <w:lang w:val="en-US" w:eastAsia="zh-CN"/>
        </w:rPr>
        <w:t>5</w:t>
      </w:r>
      <w:r>
        <w:rPr>
          <w:rFonts w:hint="eastAsia" w:ascii="宋体" w:hAnsi="宋体" w:eastAsia="宋体" w:cs="宋体"/>
          <w:color w:val="404040"/>
          <w:sz w:val="26"/>
          <w:szCs w:val="26"/>
          <w:highlight w:val="none"/>
        </w:rPr>
        <w:t>年</w:t>
      </w:r>
      <w:r>
        <w:rPr>
          <w:rFonts w:hint="eastAsia" w:ascii="宋体" w:hAnsi="宋体" w:eastAsia="宋体" w:cs="宋体"/>
          <w:color w:val="404040"/>
          <w:sz w:val="26"/>
          <w:szCs w:val="26"/>
          <w:highlight w:val="none"/>
          <w:lang w:val="en-US" w:eastAsia="zh-CN"/>
        </w:rPr>
        <w:t>11</w:t>
      </w:r>
      <w:r>
        <w:rPr>
          <w:rFonts w:hint="eastAsia" w:ascii="宋体" w:hAnsi="宋体" w:eastAsia="宋体" w:cs="宋体"/>
          <w:color w:val="404040"/>
          <w:sz w:val="26"/>
          <w:szCs w:val="26"/>
          <w:highlight w:val="none"/>
        </w:rPr>
        <w:t>月2</w:t>
      </w:r>
      <w:r>
        <w:rPr>
          <w:rFonts w:hint="eastAsia" w:ascii="宋体" w:hAnsi="宋体" w:eastAsia="宋体" w:cs="宋体"/>
          <w:color w:val="404040"/>
          <w:sz w:val="26"/>
          <w:szCs w:val="26"/>
          <w:highlight w:val="none"/>
          <w:lang w:val="en-US" w:eastAsia="zh-CN"/>
        </w:rPr>
        <w:t>8</w:t>
      </w:r>
      <w:r>
        <w:rPr>
          <w:rFonts w:hint="eastAsia" w:ascii="宋体" w:hAnsi="宋体" w:eastAsia="宋体" w:cs="宋体"/>
          <w:color w:val="404040"/>
          <w:sz w:val="26"/>
          <w:szCs w:val="26"/>
          <w:highlight w:val="none"/>
        </w:rPr>
        <w:t>日</w:t>
      </w:r>
      <w:r>
        <w:rPr>
          <w:rFonts w:hint="eastAsia" w:ascii="宋体" w:hAnsi="宋体" w:eastAsia="宋体" w:cs="宋体"/>
          <w:color w:val="404040"/>
          <w:sz w:val="26"/>
          <w:szCs w:val="26"/>
          <w:highlight w:val="none"/>
          <w:lang w:val="en-US" w:eastAsia="zh-CN"/>
        </w:rPr>
        <w:t>9</w:t>
      </w:r>
      <w:r>
        <w:rPr>
          <w:rFonts w:hint="eastAsia" w:ascii="宋体" w:hAnsi="宋体" w:eastAsia="宋体" w:cs="宋体"/>
          <w:color w:val="404040"/>
          <w:sz w:val="26"/>
          <w:szCs w:val="26"/>
          <w:highlight w:val="none"/>
        </w:rPr>
        <w:t>:00时</w:t>
      </w:r>
    </w:p>
    <w:p w14:paraId="0A9CE39A">
      <w:pPr>
        <w:adjustRightInd/>
        <w:snapToGrid/>
        <w:spacing w:before="150" w:after="0" w:line="480" w:lineRule="atLeast"/>
        <w:ind w:firstLine="480"/>
        <w:jc w:val="both"/>
        <w:rPr>
          <w:rFonts w:ascii="方正仿宋简体" w:hAnsi="宋体" w:eastAsia="方正仿宋简体" w:cs="宋体"/>
          <w:color w:val="404040"/>
          <w:sz w:val="28"/>
          <w:szCs w:val="28"/>
          <w:highlight w:val="none"/>
        </w:rPr>
      </w:pPr>
      <w:r>
        <w:rPr>
          <w:rFonts w:hint="eastAsia" w:ascii="宋体" w:hAnsi="宋体" w:eastAsia="宋体" w:cs="宋体"/>
          <w:color w:val="404040"/>
          <w:sz w:val="26"/>
          <w:szCs w:val="26"/>
          <w:highlight w:val="none"/>
        </w:rPr>
        <w:t>2、评标时间：开标后即开始评标。</w:t>
      </w:r>
    </w:p>
    <w:p w14:paraId="1F514F12">
      <w:pPr>
        <w:adjustRightInd/>
        <w:snapToGrid/>
        <w:spacing w:before="150" w:after="0" w:line="480" w:lineRule="atLeast"/>
        <w:ind w:firstLine="520" w:firstLineChars="200"/>
        <w:jc w:val="both"/>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3、地点：福建省肿瘤医院科研楼一楼总务科</w:t>
      </w:r>
    </w:p>
    <w:p w14:paraId="22D716C2">
      <w:pPr>
        <w:adjustRightInd/>
        <w:snapToGrid/>
        <w:spacing w:before="150" w:after="0" w:line="480" w:lineRule="atLeast"/>
        <w:ind w:firstLine="480"/>
        <w:jc w:val="both"/>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备注：</w:t>
      </w:r>
    </w:p>
    <w:p w14:paraId="28F7E265">
      <w:pPr>
        <w:spacing w:before="150" w:line="560" w:lineRule="exact"/>
        <w:ind w:firstLine="520" w:firstLineChars="200"/>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1. 未参加报名的潜在投标人，其投标文件将被拒绝。</w:t>
      </w:r>
    </w:p>
    <w:p w14:paraId="4DCFA933">
      <w:pPr>
        <w:spacing w:before="150" w:line="560" w:lineRule="exact"/>
        <w:ind w:firstLine="520" w:firstLineChars="200"/>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2.若有涉及招标文件内容更正，请各潜在投标人密切关注福建省肿瘤医院官网通知，以最新公告为准。</w:t>
      </w:r>
    </w:p>
    <w:p w14:paraId="116F8196">
      <w:pPr>
        <w:adjustRightInd/>
        <w:snapToGrid/>
        <w:spacing w:before="150" w:after="0" w:line="480" w:lineRule="atLeast"/>
        <w:jc w:val="both"/>
        <w:rPr>
          <w:rFonts w:ascii="方正仿宋简体" w:hAnsi="宋体" w:eastAsia="方正仿宋简体" w:cs="宋体"/>
          <w:color w:val="404040"/>
          <w:sz w:val="28"/>
          <w:szCs w:val="28"/>
          <w:highlight w:val="none"/>
        </w:rPr>
      </w:pPr>
      <w:r>
        <w:rPr>
          <w:rFonts w:hint="eastAsia" w:ascii="黑体" w:hAnsi="黑体" w:eastAsia="黑体" w:cs="宋体"/>
          <w:b/>
          <w:bCs/>
          <w:color w:val="404040"/>
          <w:sz w:val="26"/>
          <w:highlight w:val="none"/>
        </w:rPr>
        <w:t>八、评标原则及办法</w:t>
      </w:r>
    </w:p>
    <w:p w14:paraId="773920FB">
      <w:pPr>
        <w:pStyle w:val="39"/>
        <w:numPr>
          <w:ilvl w:val="0"/>
          <w:numId w:val="4"/>
        </w:numPr>
        <w:adjustRightInd/>
        <w:snapToGrid/>
        <w:spacing w:after="0" w:line="480" w:lineRule="atLeast"/>
        <w:contextualSpacing w:val="0"/>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评标活动遵循公平、公正、科学和择优的原则。</w:t>
      </w:r>
    </w:p>
    <w:p w14:paraId="23B65199">
      <w:pPr>
        <w:pStyle w:val="39"/>
        <w:numPr>
          <w:ilvl w:val="0"/>
          <w:numId w:val="4"/>
        </w:numPr>
        <w:adjustRightInd/>
        <w:snapToGrid/>
        <w:spacing w:after="0" w:line="480" w:lineRule="atLeast"/>
        <w:contextualSpacing w:val="0"/>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评标方法：</w:t>
      </w:r>
      <w:r>
        <w:rPr>
          <w:rFonts w:hint="eastAsia" w:ascii="宋体" w:hAnsi="宋体" w:eastAsia="宋体" w:cs="宋体"/>
          <w:color w:val="404040"/>
          <w:sz w:val="26"/>
          <w:szCs w:val="26"/>
          <w:highlight w:val="none"/>
          <w:lang w:val="en-US" w:eastAsia="zh-CN"/>
        </w:rPr>
        <w:t>综合评分</w:t>
      </w:r>
      <w:r>
        <w:rPr>
          <w:rFonts w:hint="eastAsia" w:ascii="宋体" w:hAnsi="宋体" w:eastAsia="宋体" w:cs="宋体"/>
          <w:color w:val="404040"/>
          <w:sz w:val="26"/>
          <w:szCs w:val="26"/>
          <w:highlight w:val="none"/>
        </w:rPr>
        <w:t>。</w:t>
      </w:r>
    </w:p>
    <w:p w14:paraId="7DEF6E78">
      <w:pPr>
        <w:pStyle w:val="39"/>
        <w:numPr>
          <w:ilvl w:val="0"/>
          <w:numId w:val="4"/>
        </w:numPr>
        <w:adjustRightInd/>
        <w:snapToGrid/>
        <w:spacing w:after="0" w:line="480" w:lineRule="atLeast"/>
        <w:contextualSpacing w:val="0"/>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投标人之间有相互串通投标、弄虚作假等违规行为者，将作废标处理，并在我院未来的项目招标中被拒绝接受投标。</w:t>
      </w:r>
    </w:p>
    <w:p w14:paraId="095BB6D1">
      <w:pPr>
        <w:adjustRightInd/>
        <w:snapToGrid/>
        <w:spacing w:before="150" w:after="0" w:line="480" w:lineRule="atLeast"/>
        <w:jc w:val="both"/>
        <w:rPr>
          <w:rFonts w:ascii="方正仿宋简体" w:hAnsi="宋体" w:eastAsia="方正仿宋简体" w:cs="宋体"/>
          <w:color w:val="404040"/>
          <w:sz w:val="28"/>
          <w:szCs w:val="28"/>
          <w:highlight w:val="none"/>
        </w:rPr>
      </w:pPr>
      <w:r>
        <w:rPr>
          <w:rFonts w:hint="eastAsia" w:ascii="黑体" w:hAnsi="黑体" w:eastAsia="黑体" w:cs="宋体"/>
          <w:b/>
          <w:bCs/>
          <w:color w:val="404040"/>
          <w:sz w:val="26"/>
          <w:highlight w:val="none"/>
        </w:rPr>
        <w:t>九、合同条款内容及签订</w:t>
      </w:r>
    </w:p>
    <w:p w14:paraId="61D33FB6">
      <w:pPr>
        <w:pStyle w:val="39"/>
        <w:numPr>
          <w:ilvl w:val="0"/>
          <w:numId w:val="5"/>
        </w:numPr>
        <w:adjustRightInd/>
        <w:snapToGrid/>
        <w:spacing w:after="0" w:line="480" w:lineRule="atLeast"/>
        <w:contextualSpacing w:val="0"/>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合同专用条款内容依照国家规范文本，合同通用条款内容解释依照国家规范文本。</w:t>
      </w:r>
    </w:p>
    <w:p w14:paraId="123D1657">
      <w:pPr>
        <w:pStyle w:val="39"/>
        <w:numPr>
          <w:ilvl w:val="0"/>
          <w:numId w:val="5"/>
        </w:numPr>
        <w:adjustRightInd/>
        <w:snapToGrid/>
        <w:spacing w:after="0" w:line="480" w:lineRule="atLeast"/>
        <w:contextualSpacing w:val="0"/>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合同签订：中标人在接到中标通知后3天内，应派代表与招标人联系，商讨签订合同事宜。</w:t>
      </w:r>
    </w:p>
    <w:p w14:paraId="0F8F36F1">
      <w:pPr>
        <w:adjustRightInd/>
        <w:snapToGrid/>
        <w:spacing w:after="0" w:line="480" w:lineRule="atLeast"/>
        <w:jc w:val="both"/>
        <w:rPr>
          <w:rFonts w:ascii="方正仿宋简体" w:hAnsi="宋体" w:eastAsia="方正仿宋简体" w:cs="宋体"/>
          <w:color w:val="404040"/>
          <w:sz w:val="28"/>
          <w:szCs w:val="28"/>
          <w:highlight w:val="none"/>
        </w:rPr>
      </w:pPr>
      <w:r>
        <w:rPr>
          <w:rFonts w:hint="eastAsia" w:ascii="黑体" w:hAnsi="黑体" w:eastAsia="黑体" w:cs="宋体"/>
          <w:b/>
          <w:bCs/>
          <w:color w:val="404040"/>
          <w:sz w:val="26"/>
          <w:highlight w:val="none"/>
        </w:rPr>
        <w:t>十、付款方式与条件</w:t>
      </w:r>
    </w:p>
    <w:p w14:paraId="6AD0D7A5">
      <w:pPr>
        <w:adjustRightInd/>
        <w:snapToGrid/>
        <w:spacing w:after="0" w:line="480" w:lineRule="atLeast"/>
        <w:ind w:firstLine="480"/>
        <w:jc w:val="both"/>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经甲方验收合格后，支付合同金额的100%。</w:t>
      </w:r>
    </w:p>
    <w:p w14:paraId="43BB484D">
      <w:pPr>
        <w:adjustRightInd/>
        <w:snapToGrid/>
        <w:spacing w:before="150" w:after="0" w:line="480" w:lineRule="atLeast"/>
        <w:jc w:val="both"/>
        <w:rPr>
          <w:rFonts w:ascii="方正仿宋简体" w:hAnsi="宋体" w:eastAsia="方正仿宋简体" w:cs="宋体"/>
          <w:color w:val="404040"/>
          <w:sz w:val="28"/>
          <w:szCs w:val="28"/>
          <w:highlight w:val="none"/>
        </w:rPr>
      </w:pPr>
      <w:r>
        <w:rPr>
          <w:rFonts w:hint="eastAsia" w:ascii="黑体" w:hAnsi="黑体" w:eastAsia="黑体" w:cs="宋体"/>
          <w:b/>
          <w:bCs/>
          <w:color w:val="404040"/>
          <w:sz w:val="26"/>
          <w:highlight w:val="none"/>
        </w:rPr>
        <w:t>十一、其他未详尽事宜</w:t>
      </w:r>
    </w:p>
    <w:p w14:paraId="3A178D08">
      <w:pPr>
        <w:adjustRightInd/>
        <w:snapToGrid/>
        <w:spacing w:before="150" w:after="0" w:line="480" w:lineRule="atLeast"/>
        <w:ind w:firstLine="480"/>
        <w:jc w:val="both"/>
        <w:rPr>
          <w:rFonts w:ascii="方正仿宋简体" w:hAnsi="宋体" w:eastAsia="方正仿宋简体" w:cs="宋体"/>
          <w:color w:val="404040"/>
          <w:sz w:val="28"/>
          <w:szCs w:val="28"/>
          <w:highlight w:val="none"/>
        </w:rPr>
      </w:pPr>
      <w:r>
        <w:rPr>
          <w:rFonts w:hint="eastAsia" w:ascii="宋体" w:hAnsi="宋体" w:eastAsia="宋体" w:cs="宋体"/>
          <w:color w:val="404040"/>
          <w:sz w:val="26"/>
          <w:szCs w:val="26"/>
          <w:highlight w:val="none"/>
        </w:rPr>
        <w:t>依照国家政府采购有关规定。</w:t>
      </w:r>
    </w:p>
    <w:p w14:paraId="792E852B">
      <w:pPr>
        <w:adjustRightInd/>
        <w:snapToGrid/>
        <w:spacing w:before="150" w:after="0" w:line="480" w:lineRule="atLeast"/>
        <w:jc w:val="both"/>
        <w:rPr>
          <w:rFonts w:ascii="方正仿宋简体" w:hAnsi="宋体" w:eastAsia="方正仿宋简体" w:cs="宋体"/>
          <w:color w:val="404040"/>
          <w:sz w:val="28"/>
          <w:szCs w:val="28"/>
          <w:highlight w:val="none"/>
        </w:rPr>
      </w:pPr>
      <w:r>
        <w:rPr>
          <w:rFonts w:hint="eastAsia" w:ascii="黑体" w:hAnsi="黑体" w:eastAsia="黑体" w:cs="宋体"/>
          <w:b/>
          <w:bCs/>
          <w:color w:val="404040"/>
          <w:sz w:val="26"/>
          <w:highlight w:val="none"/>
        </w:rPr>
        <w:t>十二、工程量清单</w:t>
      </w:r>
    </w:p>
    <w:p w14:paraId="22357FA3">
      <w:pPr>
        <w:adjustRightInd/>
        <w:snapToGrid/>
        <w:spacing w:before="150" w:after="0" w:line="480" w:lineRule="atLeast"/>
        <w:ind w:firstLine="480"/>
        <w:jc w:val="both"/>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1.工程量清单每一个子目只允许有一个报价，没有填入单价或价格的， 其费用视为已分摊在工程量清单中的其他相关子目单价或价格中。</w:t>
      </w:r>
    </w:p>
    <w:p w14:paraId="0F5AFCAC">
      <w:pPr>
        <w:adjustRightInd/>
        <w:snapToGrid/>
        <w:spacing w:before="150" w:after="0" w:line="480" w:lineRule="atLeast"/>
        <w:jc w:val="both"/>
        <w:rPr>
          <w:rFonts w:ascii="黑体" w:hAnsi="黑体" w:eastAsia="黑体" w:cs="宋体"/>
          <w:b/>
          <w:bCs/>
          <w:color w:val="404040"/>
          <w:sz w:val="26"/>
          <w:highlight w:val="none"/>
        </w:rPr>
      </w:pPr>
      <w:r>
        <w:rPr>
          <w:rFonts w:hint="eastAsia" w:ascii="黑体" w:hAnsi="黑体" w:eastAsia="黑体" w:cs="宋体"/>
          <w:b/>
          <w:bCs/>
          <w:color w:val="404040"/>
          <w:sz w:val="26"/>
          <w:highlight w:val="none"/>
        </w:rPr>
        <w:t>十三、监督电话</w:t>
      </w:r>
    </w:p>
    <w:p w14:paraId="3BE5E3B3">
      <w:pPr>
        <w:adjustRightInd/>
        <w:snapToGrid/>
        <w:spacing w:before="150" w:after="0" w:line="480" w:lineRule="atLeast"/>
        <w:ind w:firstLine="480"/>
        <w:jc w:val="both"/>
        <w:rPr>
          <w:rFonts w:ascii="宋体" w:hAnsi="宋体" w:eastAsia="宋体" w:cs="宋体"/>
          <w:color w:val="404040"/>
          <w:sz w:val="26"/>
          <w:szCs w:val="26"/>
          <w:highlight w:val="none"/>
        </w:rPr>
      </w:pPr>
      <w:r>
        <w:rPr>
          <w:rFonts w:ascii="宋体" w:hAnsi="宋体" w:eastAsia="宋体" w:cs="宋体"/>
          <w:color w:val="404040"/>
          <w:sz w:val="26"/>
          <w:szCs w:val="26"/>
          <w:highlight w:val="none"/>
        </w:rPr>
        <w:t>在采购报名、采购调研等采购过程中有任何异议，可联系我院监督科室。电话：83660063-8407；83660063-8467。</w:t>
      </w:r>
    </w:p>
    <w:p w14:paraId="1253465E">
      <w:pPr>
        <w:adjustRightInd/>
        <w:snapToGrid/>
        <w:spacing w:after="0"/>
        <w:rPr>
          <w:rFonts w:hint="eastAsia" w:ascii="宋体" w:hAnsi="宋体" w:eastAsia="宋体" w:cs="宋体"/>
          <w:color w:val="404040"/>
          <w:sz w:val="26"/>
          <w:szCs w:val="26"/>
          <w:highlight w:val="none"/>
          <w:lang w:val="en-US" w:eastAsia="zh-CN"/>
        </w:rPr>
      </w:pPr>
      <w:r>
        <w:rPr>
          <w:rFonts w:hint="eastAsia" w:ascii="宋体" w:hAnsi="宋体" w:eastAsia="宋体" w:cs="宋体"/>
          <w:color w:val="404040"/>
          <w:sz w:val="26"/>
          <w:szCs w:val="26"/>
          <w:highlight w:val="none"/>
          <w:lang w:val="en-US" w:eastAsia="zh-CN"/>
        </w:rPr>
        <w:t xml:space="preserve">                                                 福建省肿瘤医院</w:t>
      </w:r>
    </w:p>
    <w:p w14:paraId="7F48091D">
      <w:pPr>
        <w:adjustRightInd/>
        <w:snapToGrid/>
        <w:spacing w:after="0"/>
        <w:jc w:val="right"/>
        <w:rPr>
          <w:rFonts w:hint="default" w:ascii="宋体" w:hAnsi="宋体" w:eastAsia="宋体" w:cs="宋体"/>
          <w:color w:val="404040"/>
          <w:sz w:val="26"/>
          <w:szCs w:val="26"/>
          <w:highlight w:val="none"/>
          <w:lang w:val="en-US" w:eastAsia="zh-CN"/>
        </w:rPr>
      </w:pPr>
      <w:r>
        <w:rPr>
          <w:rFonts w:hint="eastAsia" w:ascii="宋体" w:hAnsi="宋体" w:eastAsia="宋体" w:cs="宋体"/>
          <w:color w:val="404040"/>
          <w:sz w:val="26"/>
          <w:szCs w:val="26"/>
          <w:highlight w:val="none"/>
          <w:lang w:val="en-US" w:eastAsia="zh-CN"/>
        </w:rPr>
        <w:t>2025年11月20日</w:t>
      </w:r>
      <w:r>
        <w:rPr>
          <w:rFonts w:hint="eastAsia" w:ascii="宋体" w:hAnsi="宋体" w:eastAsia="宋体" w:cs="宋体"/>
          <w:color w:val="404040"/>
          <w:sz w:val="26"/>
          <w:szCs w:val="26"/>
          <w:highlight w:val="none"/>
        </w:rPr>
        <w:br w:type="page"/>
      </w:r>
      <w:r>
        <w:rPr>
          <w:rFonts w:hint="eastAsia" w:ascii="宋体" w:hAnsi="宋体" w:eastAsia="宋体" w:cs="宋体"/>
          <w:color w:val="404040"/>
          <w:sz w:val="26"/>
          <w:szCs w:val="26"/>
          <w:highlight w:val="none"/>
          <w:lang w:val="en-US" w:eastAsia="zh-CN"/>
        </w:rPr>
        <w:t xml:space="preserve">  </w:t>
      </w:r>
    </w:p>
    <w:p w14:paraId="32F09E10">
      <w:pPr>
        <w:widowControl w:val="0"/>
        <w:adjustRightInd/>
        <w:snapToGrid/>
        <w:spacing w:after="0" w:line="590" w:lineRule="exact"/>
        <w:jc w:val="center"/>
        <w:rPr>
          <w:rFonts w:ascii="宋体" w:hAnsi="宋体" w:eastAsia="宋体" w:cs="宋体"/>
          <w:color w:val="404040"/>
          <w:sz w:val="26"/>
          <w:szCs w:val="26"/>
          <w:highlight w:val="none"/>
        </w:rPr>
      </w:pPr>
      <w:r>
        <w:rPr>
          <w:rFonts w:ascii="宋体" w:hAnsi="宋体" w:eastAsia="宋体" w:cs="宋体"/>
          <w:color w:val="404040"/>
          <w:sz w:val="26"/>
          <w:szCs w:val="26"/>
          <w:highlight w:val="none"/>
        </w:rPr>
        <w:t>报价内容一览</w:t>
      </w:r>
    </w:p>
    <w:tbl>
      <w:tblPr>
        <w:tblStyle w:val="22"/>
        <w:tblW w:w="82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21"/>
        <w:gridCol w:w="1438"/>
        <w:gridCol w:w="1082"/>
        <w:gridCol w:w="1436"/>
        <w:gridCol w:w="1500"/>
      </w:tblGrid>
      <w:tr w14:paraId="006BE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821" w:type="dxa"/>
            <w:shd w:val="clear" w:color="FFFFFF" w:fill="auto"/>
            <w:vAlign w:val="center"/>
          </w:tcPr>
          <w:p w14:paraId="7E295828">
            <w:pPr>
              <w:widowControl w:val="0"/>
              <w:adjustRightInd/>
              <w:snapToGrid/>
              <w:spacing w:after="0" w:line="340" w:lineRule="exact"/>
              <w:jc w:val="center"/>
              <w:rPr>
                <w:rFonts w:ascii="宋体" w:hAnsi="宋体" w:eastAsia="宋体" w:cs="宋体"/>
                <w:color w:val="404040"/>
                <w:sz w:val="26"/>
                <w:szCs w:val="26"/>
                <w:highlight w:val="none"/>
              </w:rPr>
            </w:pPr>
            <w:r>
              <w:rPr>
                <w:rFonts w:ascii="宋体" w:hAnsi="宋体" w:eastAsia="宋体" w:cs="宋体"/>
                <w:color w:val="404040"/>
                <w:sz w:val="26"/>
                <w:szCs w:val="26"/>
                <w:highlight w:val="none"/>
              </w:rPr>
              <w:t>项目名称</w:t>
            </w:r>
          </w:p>
        </w:tc>
        <w:tc>
          <w:tcPr>
            <w:tcW w:w="1438" w:type="dxa"/>
            <w:shd w:val="clear" w:color="FFFFFF" w:fill="auto"/>
            <w:vAlign w:val="center"/>
          </w:tcPr>
          <w:p w14:paraId="12033518">
            <w:pPr>
              <w:widowControl w:val="0"/>
              <w:adjustRightInd/>
              <w:snapToGrid/>
              <w:spacing w:after="0" w:line="340" w:lineRule="exact"/>
              <w:jc w:val="center"/>
              <w:rPr>
                <w:rFonts w:ascii="宋体" w:hAnsi="宋体" w:eastAsia="宋体" w:cs="宋体"/>
                <w:color w:val="404040"/>
                <w:sz w:val="26"/>
                <w:szCs w:val="26"/>
                <w:highlight w:val="none"/>
              </w:rPr>
            </w:pPr>
            <w:r>
              <w:rPr>
                <w:rFonts w:ascii="宋体" w:hAnsi="宋体" w:eastAsia="宋体" w:cs="宋体"/>
                <w:color w:val="404040"/>
                <w:sz w:val="26"/>
                <w:szCs w:val="26"/>
                <w:highlight w:val="none"/>
              </w:rPr>
              <w:t>招标方式</w:t>
            </w:r>
          </w:p>
        </w:tc>
        <w:tc>
          <w:tcPr>
            <w:tcW w:w="1082" w:type="dxa"/>
            <w:shd w:val="clear" w:color="FFFFFF" w:fill="auto"/>
            <w:vAlign w:val="center"/>
          </w:tcPr>
          <w:p w14:paraId="5D36BE85">
            <w:pPr>
              <w:widowControl w:val="0"/>
              <w:adjustRightInd/>
              <w:snapToGrid/>
              <w:spacing w:after="0" w:line="340" w:lineRule="exact"/>
              <w:jc w:val="center"/>
              <w:rPr>
                <w:rFonts w:ascii="宋体" w:hAnsi="宋体" w:eastAsia="宋体" w:cs="宋体"/>
                <w:color w:val="404040"/>
                <w:sz w:val="26"/>
                <w:szCs w:val="26"/>
                <w:highlight w:val="none"/>
              </w:rPr>
            </w:pPr>
            <w:r>
              <w:rPr>
                <w:rFonts w:ascii="宋体" w:hAnsi="宋体" w:eastAsia="宋体" w:cs="宋体"/>
                <w:color w:val="404040"/>
                <w:sz w:val="26"/>
                <w:szCs w:val="26"/>
                <w:highlight w:val="none"/>
              </w:rPr>
              <w:t>控制价</w:t>
            </w:r>
          </w:p>
        </w:tc>
        <w:tc>
          <w:tcPr>
            <w:tcW w:w="1436" w:type="dxa"/>
            <w:shd w:val="clear" w:color="FFFFFF" w:fill="auto"/>
            <w:vAlign w:val="center"/>
          </w:tcPr>
          <w:p w14:paraId="5447DC8C">
            <w:pPr>
              <w:widowControl w:val="0"/>
              <w:adjustRightInd/>
              <w:snapToGrid/>
              <w:spacing w:after="0" w:line="340" w:lineRule="exact"/>
              <w:jc w:val="center"/>
              <w:rPr>
                <w:rFonts w:ascii="宋体" w:hAnsi="宋体" w:eastAsia="宋体" w:cs="宋体"/>
                <w:color w:val="404040"/>
                <w:sz w:val="26"/>
                <w:szCs w:val="26"/>
                <w:highlight w:val="none"/>
              </w:rPr>
            </w:pPr>
            <w:r>
              <w:rPr>
                <w:rFonts w:ascii="宋体" w:hAnsi="宋体" w:eastAsia="宋体" w:cs="宋体"/>
                <w:color w:val="404040"/>
                <w:sz w:val="26"/>
                <w:szCs w:val="26"/>
                <w:highlight w:val="none"/>
              </w:rPr>
              <w:t>数量</w:t>
            </w:r>
          </w:p>
        </w:tc>
        <w:tc>
          <w:tcPr>
            <w:tcW w:w="1500" w:type="dxa"/>
            <w:shd w:val="clear" w:color="FFFFFF" w:fill="auto"/>
            <w:vAlign w:val="center"/>
          </w:tcPr>
          <w:p w14:paraId="26B8D793">
            <w:pPr>
              <w:widowControl w:val="0"/>
              <w:adjustRightInd/>
              <w:snapToGrid/>
              <w:spacing w:after="0" w:line="340" w:lineRule="exact"/>
              <w:jc w:val="center"/>
              <w:rPr>
                <w:rFonts w:ascii="宋体" w:hAnsi="宋体" w:eastAsia="宋体" w:cs="宋体"/>
                <w:color w:val="404040"/>
                <w:sz w:val="26"/>
                <w:szCs w:val="26"/>
                <w:highlight w:val="none"/>
              </w:rPr>
            </w:pPr>
            <w:r>
              <w:rPr>
                <w:rFonts w:ascii="宋体" w:hAnsi="宋体" w:eastAsia="宋体" w:cs="宋体"/>
                <w:color w:val="404040"/>
                <w:sz w:val="26"/>
                <w:szCs w:val="26"/>
                <w:highlight w:val="none"/>
              </w:rPr>
              <w:t>要求</w:t>
            </w:r>
          </w:p>
        </w:tc>
      </w:tr>
      <w:tr w14:paraId="190C3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16" w:hRule="atLeast"/>
          <w:jc w:val="center"/>
        </w:trPr>
        <w:tc>
          <w:tcPr>
            <w:tcW w:w="2821" w:type="dxa"/>
            <w:vAlign w:val="center"/>
          </w:tcPr>
          <w:p w14:paraId="58B13150">
            <w:pPr>
              <w:spacing w:line="340" w:lineRule="exact"/>
              <w:jc w:val="center"/>
              <w:rPr>
                <w:rFonts w:ascii="宋体" w:hAnsi="宋体" w:eastAsia="宋体" w:cs="宋体"/>
                <w:color w:val="404040"/>
                <w:sz w:val="32"/>
                <w:szCs w:val="32"/>
                <w:highlight w:val="none"/>
              </w:rPr>
            </w:pPr>
            <w:r>
              <w:rPr>
                <w:rFonts w:hint="eastAsia" w:ascii="宋体" w:hAnsi="宋体" w:eastAsia="宋体" w:cs="宋体"/>
                <w:color w:val="404040"/>
                <w:sz w:val="26"/>
                <w:szCs w:val="26"/>
                <w:highlight w:val="none"/>
                <w:lang w:val="en-US" w:eastAsia="zh-CN"/>
              </w:rPr>
              <w:t>病理科监控设备采购项目</w:t>
            </w:r>
          </w:p>
        </w:tc>
        <w:tc>
          <w:tcPr>
            <w:tcW w:w="1438" w:type="dxa"/>
            <w:vAlign w:val="center"/>
          </w:tcPr>
          <w:p w14:paraId="4F2595C9">
            <w:pPr>
              <w:spacing w:line="340" w:lineRule="exact"/>
              <w:jc w:val="center"/>
              <w:rPr>
                <w:rFonts w:ascii="宋体" w:hAnsi="宋体" w:eastAsia="宋体" w:cs="宋体"/>
                <w:i/>
                <w:iCs/>
                <w:color w:val="404040"/>
                <w:sz w:val="26"/>
                <w:szCs w:val="26"/>
                <w:highlight w:val="none"/>
              </w:rPr>
            </w:pPr>
            <w:r>
              <w:rPr>
                <w:rFonts w:hint="eastAsia" w:ascii="宋体" w:hAnsi="宋体" w:eastAsia="宋体" w:cs="宋体"/>
                <w:color w:val="404040"/>
                <w:sz w:val="26"/>
                <w:szCs w:val="26"/>
                <w:highlight w:val="none"/>
                <w:lang w:val="en-US" w:eastAsia="zh-CN"/>
              </w:rPr>
              <w:t>综合评分</w:t>
            </w:r>
          </w:p>
        </w:tc>
        <w:tc>
          <w:tcPr>
            <w:tcW w:w="1082" w:type="dxa"/>
            <w:vAlign w:val="center"/>
          </w:tcPr>
          <w:p w14:paraId="52600896">
            <w:pPr>
              <w:spacing w:line="340" w:lineRule="exact"/>
              <w:jc w:val="center"/>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lang w:val="en-US" w:eastAsia="zh-CN"/>
              </w:rPr>
              <w:t>23.6</w:t>
            </w:r>
            <w:r>
              <w:rPr>
                <w:rFonts w:ascii="宋体" w:hAnsi="宋体" w:eastAsia="宋体" w:cs="宋体"/>
                <w:color w:val="404040"/>
                <w:sz w:val="26"/>
                <w:szCs w:val="26"/>
                <w:highlight w:val="none"/>
              </w:rPr>
              <w:t>万</w:t>
            </w:r>
          </w:p>
        </w:tc>
        <w:tc>
          <w:tcPr>
            <w:tcW w:w="1436" w:type="dxa"/>
            <w:vAlign w:val="center"/>
          </w:tcPr>
          <w:p w14:paraId="0A0DE056">
            <w:pPr>
              <w:spacing w:line="340" w:lineRule="exact"/>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详见附件</w:t>
            </w:r>
          </w:p>
        </w:tc>
        <w:tc>
          <w:tcPr>
            <w:tcW w:w="1500" w:type="dxa"/>
            <w:vAlign w:val="center"/>
          </w:tcPr>
          <w:p w14:paraId="1FC8BEB0">
            <w:pPr>
              <w:spacing w:line="340" w:lineRule="exact"/>
              <w:jc w:val="center"/>
              <w:rPr>
                <w:rFonts w:ascii="宋体" w:hAnsi="宋体" w:eastAsia="宋体" w:cs="宋体"/>
                <w:color w:val="404040"/>
                <w:sz w:val="26"/>
                <w:szCs w:val="26"/>
                <w:highlight w:val="none"/>
              </w:rPr>
            </w:pPr>
            <w:r>
              <w:rPr>
                <w:rFonts w:ascii="宋体" w:hAnsi="宋体" w:eastAsia="宋体" w:cs="宋体"/>
                <w:color w:val="404040"/>
                <w:sz w:val="26"/>
                <w:szCs w:val="26"/>
                <w:highlight w:val="none"/>
              </w:rPr>
              <w:t>详见附件</w:t>
            </w:r>
          </w:p>
        </w:tc>
      </w:tr>
    </w:tbl>
    <w:p w14:paraId="4B98CCFA">
      <w:pPr>
        <w:pStyle w:val="17"/>
        <w:rPr>
          <w:rFonts w:ascii="宋体" w:hAnsi="宋体" w:eastAsia="宋体" w:cs="宋体"/>
          <w:color w:val="404040"/>
          <w:sz w:val="26"/>
          <w:szCs w:val="26"/>
          <w:highlight w:val="none"/>
        </w:rPr>
      </w:pPr>
      <w:r>
        <w:rPr>
          <w:rFonts w:ascii="宋体" w:hAnsi="宋体" w:eastAsia="宋体" w:cs="宋体"/>
          <w:color w:val="404040"/>
          <w:sz w:val="26"/>
          <w:szCs w:val="26"/>
          <w:highlight w:val="none"/>
        </w:rPr>
        <w:t>备注：</w:t>
      </w:r>
      <w:r>
        <w:rPr>
          <w:rFonts w:hint="eastAsia" w:ascii="宋体" w:hAnsi="宋体" w:eastAsia="宋体" w:cs="宋体"/>
          <w:color w:val="404040"/>
          <w:sz w:val="26"/>
          <w:szCs w:val="26"/>
          <w:highlight w:val="none"/>
        </w:rPr>
        <w:t>1、</w:t>
      </w:r>
      <w:r>
        <w:rPr>
          <w:rFonts w:ascii="宋体" w:hAnsi="宋体" w:eastAsia="宋体" w:cs="宋体"/>
          <w:color w:val="404040"/>
          <w:sz w:val="26"/>
          <w:szCs w:val="26"/>
          <w:highlight w:val="none"/>
        </w:rPr>
        <w:t>如双方对招标内容产生歧义，最终解释权归采购人。</w:t>
      </w:r>
    </w:p>
    <w:p w14:paraId="4CC35B69">
      <w:pPr>
        <w:adjustRightInd/>
        <w:snapToGrid/>
        <w:spacing w:before="150" w:after="0" w:line="480" w:lineRule="atLeast"/>
        <w:ind w:firstLine="480"/>
        <w:jc w:val="both"/>
        <w:rPr>
          <w:rFonts w:ascii="宋体" w:hAnsi="宋体" w:eastAsia="宋体" w:cs="宋体"/>
          <w:color w:val="404040"/>
          <w:sz w:val="26"/>
          <w:szCs w:val="26"/>
          <w:highlight w:val="none"/>
        </w:rPr>
      </w:pPr>
    </w:p>
    <w:p w14:paraId="37C6D25B">
      <w:pPr>
        <w:pStyle w:val="17"/>
        <w:rPr>
          <w:rFonts w:ascii="宋体" w:hAnsi="宋体" w:cs="仿宋_GB2312"/>
          <w:b/>
          <w:sz w:val="24"/>
          <w:szCs w:val="24"/>
          <w:highlight w:val="none"/>
        </w:rPr>
      </w:pPr>
    </w:p>
    <w:p w14:paraId="67BEA9FF">
      <w:pPr>
        <w:pStyle w:val="17"/>
        <w:rPr>
          <w:rFonts w:ascii="宋体" w:hAnsi="宋体" w:cs="仿宋_GB2312"/>
          <w:b/>
          <w:sz w:val="24"/>
          <w:szCs w:val="24"/>
          <w:highlight w:val="none"/>
        </w:rPr>
      </w:pPr>
    </w:p>
    <w:p w14:paraId="7517909B">
      <w:pPr>
        <w:pStyle w:val="17"/>
        <w:rPr>
          <w:rFonts w:ascii="宋体" w:hAnsi="宋体" w:cs="仿宋_GB2312"/>
          <w:b/>
          <w:sz w:val="24"/>
          <w:szCs w:val="24"/>
          <w:highlight w:val="none"/>
        </w:rPr>
      </w:pPr>
    </w:p>
    <w:p w14:paraId="734CCE7C">
      <w:pPr>
        <w:pStyle w:val="17"/>
        <w:rPr>
          <w:rFonts w:ascii="宋体" w:hAnsi="宋体" w:cs="仿宋_GB2312"/>
          <w:b/>
          <w:sz w:val="24"/>
          <w:szCs w:val="24"/>
          <w:highlight w:val="none"/>
        </w:rPr>
      </w:pPr>
    </w:p>
    <w:p w14:paraId="4F136A50">
      <w:pPr>
        <w:pStyle w:val="17"/>
        <w:rPr>
          <w:rFonts w:ascii="宋体" w:hAnsi="宋体" w:cs="仿宋_GB2312"/>
          <w:b/>
          <w:sz w:val="24"/>
          <w:szCs w:val="24"/>
          <w:highlight w:val="none"/>
        </w:rPr>
      </w:pPr>
    </w:p>
    <w:p w14:paraId="19922F40">
      <w:pPr>
        <w:pStyle w:val="17"/>
        <w:rPr>
          <w:rFonts w:ascii="宋体" w:hAnsi="宋体" w:cs="仿宋_GB2312"/>
          <w:b/>
          <w:sz w:val="24"/>
          <w:szCs w:val="24"/>
          <w:highlight w:val="none"/>
        </w:rPr>
      </w:pPr>
    </w:p>
    <w:p w14:paraId="40FCE7FD">
      <w:pPr>
        <w:pStyle w:val="17"/>
        <w:rPr>
          <w:rFonts w:ascii="宋体" w:hAnsi="宋体" w:cs="仿宋_GB2312"/>
          <w:b/>
          <w:sz w:val="24"/>
          <w:szCs w:val="24"/>
          <w:highlight w:val="none"/>
        </w:rPr>
      </w:pPr>
    </w:p>
    <w:p w14:paraId="4E098F42">
      <w:pPr>
        <w:pStyle w:val="17"/>
        <w:rPr>
          <w:rFonts w:ascii="宋体" w:hAnsi="宋体" w:cs="仿宋_GB2312"/>
          <w:b/>
          <w:sz w:val="24"/>
          <w:szCs w:val="24"/>
          <w:highlight w:val="none"/>
        </w:rPr>
      </w:pPr>
    </w:p>
    <w:p w14:paraId="5EAAE08A">
      <w:pPr>
        <w:pStyle w:val="17"/>
        <w:rPr>
          <w:rFonts w:ascii="宋体" w:hAnsi="宋体" w:cs="仿宋_GB2312"/>
          <w:b/>
          <w:sz w:val="24"/>
          <w:szCs w:val="24"/>
          <w:highlight w:val="none"/>
        </w:rPr>
      </w:pPr>
    </w:p>
    <w:p w14:paraId="2F845F0A">
      <w:pPr>
        <w:pStyle w:val="17"/>
        <w:rPr>
          <w:rFonts w:ascii="宋体" w:hAnsi="宋体" w:cs="仿宋_GB2312"/>
          <w:b/>
          <w:sz w:val="24"/>
          <w:szCs w:val="24"/>
          <w:highlight w:val="none"/>
        </w:rPr>
      </w:pPr>
    </w:p>
    <w:p w14:paraId="07413C2C">
      <w:pPr>
        <w:pStyle w:val="17"/>
        <w:rPr>
          <w:rFonts w:ascii="宋体" w:hAnsi="宋体" w:cs="仿宋_GB2312"/>
          <w:b/>
          <w:sz w:val="24"/>
          <w:szCs w:val="24"/>
          <w:highlight w:val="none"/>
        </w:rPr>
      </w:pPr>
    </w:p>
    <w:p w14:paraId="71EA87C3">
      <w:pPr>
        <w:pStyle w:val="17"/>
        <w:rPr>
          <w:rFonts w:ascii="宋体" w:hAnsi="宋体" w:cs="仿宋_GB2312"/>
          <w:b/>
          <w:sz w:val="24"/>
          <w:szCs w:val="24"/>
          <w:highlight w:val="none"/>
        </w:rPr>
      </w:pPr>
    </w:p>
    <w:p w14:paraId="440EC3B4">
      <w:pPr>
        <w:pStyle w:val="17"/>
        <w:rPr>
          <w:rFonts w:ascii="宋体" w:hAnsi="宋体" w:cs="仿宋_GB2312"/>
          <w:b/>
          <w:sz w:val="24"/>
          <w:szCs w:val="24"/>
          <w:highlight w:val="none"/>
        </w:rPr>
      </w:pPr>
    </w:p>
    <w:p w14:paraId="1B7BA43B">
      <w:pPr>
        <w:pStyle w:val="47"/>
        <w:rPr>
          <w:rFonts w:hint="default" w:ascii="宋体" w:hAnsi="宋体" w:cs="宋体"/>
          <w:b/>
          <w:sz w:val="36"/>
          <w:szCs w:val="36"/>
          <w:highlight w:val="none"/>
        </w:rPr>
      </w:pPr>
      <w:r>
        <w:rPr>
          <w:rFonts w:ascii="宋体" w:hAnsi="宋体" w:cs="宋体"/>
          <w:b/>
          <w:sz w:val="36"/>
          <w:szCs w:val="36"/>
          <w:highlight w:val="none"/>
        </w:rPr>
        <w:t>附件：</w:t>
      </w:r>
    </w:p>
    <w:p w14:paraId="37326BFC">
      <w:pPr>
        <w:pStyle w:val="47"/>
        <w:widowControl w:val="0"/>
        <w:jc w:val="both"/>
        <w:rPr>
          <w:rFonts w:hint="default" w:ascii="宋体" w:hAnsi="宋体" w:cs="宋体"/>
          <w:b/>
          <w:bCs/>
          <w:color w:val="000000"/>
          <w:sz w:val="28"/>
          <w:szCs w:val="28"/>
          <w:highlight w:val="none"/>
          <w:lang w:val="en-US" w:eastAsia="zh-CN"/>
        </w:rPr>
      </w:pPr>
      <w:r>
        <w:rPr>
          <w:rFonts w:hint="eastAsia" w:ascii="宋体" w:hAnsi="宋体" w:cs="宋体"/>
          <w:b/>
          <w:bCs/>
          <w:color w:val="000000"/>
          <w:sz w:val="28"/>
          <w:szCs w:val="28"/>
          <w:highlight w:val="none"/>
          <w:lang w:val="en-US" w:eastAsia="zh-CN"/>
        </w:rPr>
        <w:t>一、项目概况（采购标的）：</w:t>
      </w:r>
    </w:p>
    <w:p w14:paraId="7E19AF5B">
      <w:pPr>
        <w:pStyle w:val="47"/>
        <w:widowControl w:val="0"/>
        <w:ind w:firstLine="480" w:firstLineChars="200"/>
        <w:jc w:val="both"/>
        <w:rPr>
          <w:rFonts w:hint="eastAsia"/>
          <w:sz w:val="24"/>
          <w:highlight w:val="none"/>
          <w:lang w:val="en-US" w:eastAsia="zh-CN"/>
        </w:rPr>
      </w:pPr>
      <w:r>
        <w:rPr>
          <w:rFonts w:hint="eastAsia"/>
          <w:sz w:val="24"/>
          <w:highlight w:val="none"/>
          <w:lang w:val="en-US" w:eastAsia="zh-CN"/>
        </w:rPr>
        <w:t>1、本次采购项目为病理科监控设备采购项目货物采购。投标人提供的所有货物必须通过合法渠道获得，具有在中国境内的合法使用权和用户保护权且为全新原装货物。技术参数必须符合或优于国家及行业相关标准。国家有强制性规定的产品（如CCC）还必须符合国家强制性认证规定。</w:t>
      </w:r>
    </w:p>
    <w:p w14:paraId="0323F5DD">
      <w:pPr>
        <w:pStyle w:val="47"/>
        <w:widowControl w:val="0"/>
        <w:ind w:firstLine="480" w:firstLineChars="200"/>
        <w:jc w:val="both"/>
        <w:rPr>
          <w:rFonts w:hint="eastAsia"/>
          <w:sz w:val="24"/>
          <w:highlight w:val="none"/>
          <w:lang w:val="en-US" w:eastAsia="zh-CN"/>
        </w:rPr>
      </w:pPr>
      <w:r>
        <w:rPr>
          <w:rFonts w:hint="eastAsia"/>
          <w:sz w:val="24"/>
          <w:highlight w:val="none"/>
          <w:lang w:val="en-US" w:eastAsia="zh-CN"/>
        </w:rPr>
        <w:t>2、采购货物标示“◆”的为本项目核心产品，本项目序号“一、1.1、◆400W室内半球”为核心产品。提供同品牌序号“一、1.1、◆400W室内半球”产品的不同供应商参加本项目报价的，按一家供应商计算：以其中通过资格审查、符合性审查且得分最高的供应商作为有效供应商参加评审；经评审后分数相同的，以报价最低的供应商作为有效供应商参加评审；评审分和报价均相同的，采取随机抽取方式确定有效供应商，其他以同品牌同型号投报的供应商报价无效。</w:t>
      </w:r>
    </w:p>
    <w:p w14:paraId="2DAB84F6">
      <w:pPr>
        <w:pStyle w:val="47"/>
        <w:widowControl w:val="0"/>
        <w:jc w:val="both"/>
        <w:rPr>
          <w:rFonts w:hint="eastAsia"/>
          <w:sz w:val="24"/>
          <w:highlight w:val="none"/>
          <w:lang w:val="en-US" w:eastAsia="zh-CN"/>
        </w:rPr>
      </w:pPr>
      <w:r>
        <w:rPr>
          <w:rFonts w:hint="eastAsia"/>
          <w:sz w:val="24"/>
          <w:highlight w:val="none"/>
          <w:lang w:val="en-US" w:eastAsia="zh-CN"/>
        </w:rPr>
        <w:t>3、项目采购清单</w:t>
      </w:r>
    </w:p>
    <w:tbl>
      <w:tblPr>
        <w:tblStyle w:val="22"/>
        <w:tblW w:w="7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2126"/>
        <w:gridCol w:w="2552"/>
        <w:gridCol w:w="709"/>
        <w:gridCol w:w="708"/>
        <w:gridCol w:w="851"/>
      </w:tblGrid>
      <w:tr w14:paraId="4A7B9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709" w:type="dxa"/>
            <w:vAlign w:val="center"/>
          </w:tcPr>
          <w:p w14:paraId="01248CE2">
            <w:pPr>
              <w:widowControl/>
              <w:spacing w:line="240" w:lineRule="auto"/>
              <w:ind w:firstLine="0" w:firstLineChars="0"/>
              <w:jc w:val="center"/>
              <w:rPr>
                <w:rFonts w:hint="eastAsia" w:ascii="宋体" w:hAnsi="宋体" w:eastAsia="宋体" w:cs="宋体"/>
                <w:b/>
                <w:bCs/>
                <w:color w:val="000000"/>
                <w:kern w:val="0"/>
                <w:sz w:val="20"/>
                <w:szCs w:val="20"/>
                <w:highlight w:val="none"/>
              </w:rPr>
            </w:pPr>
            <w:r>
              <w:rPr>
                <w:rFonts w:hint="eastAsia" w:ascii="宋体" w:hAnsi="宋体" w:eastAsia="宋体" w:cs="宋体"/>
                <w:kern w:val="0"/>
                <w:sz w:val="20"/>
                <w:szCs w:val="20"/>
                <w:highlight w:val="none"/>
              </w:rPr>
              <w:t>序号</w:t>
            </w:r>
          </w:p>
        </w:tc>
        <w:tc>
          <w:tcPr>
            <w:tcW w:w="2126" w:type="dxa"/>
            <w:vAlign w:val="center"/>
          </w:tcPr>
          <w:p w14:paraId="723D622F">
            <w:pPr>
              <w:widowControl/>
              <w:spacing w:line="240" w:lineRule="auto"/>
              <w:ind w:firstLine="0" w:firstLineChars="0"/>
              <w:jc w:val="center"/>
              <w:rPr>
                <w:rFonts w:hint="eastAsia" w:ascii="宋体" w:hAnsi="宋体" w:eastAsia="宋体" w:cs="宋体"/>
                <w:kern w:val="0"/>
                <w:sz w:val="20"/>
                <w:szCs w:val="20"/>
                <w:highlight w:val="none"/>
              </w:rPr>
            </w:pPr>
            <w:r>
              <w:rPr>
                <w:rFonts w:hint="eastAsia" w:ascii="宋体" w:hAnsi="宋体" w:eastAsia="宋体" w:cs="宋体"/>
                <w:kern w:val="0"/>
                <w:sz w:val="20"/>
                <w:szCs w:val="20"/>
                <w:highlight w:val="none"/>
              </w:rPr>
              <w:t>项目名称</w:t>
            </w:r>
          </w:p>
        </w:tc>
        <w:tc>
          <w:tcPr>
            <w:tcW w:w="2552" w:type="dxa"/>
            <w:vAlign w:val="center"/>
          </w:tcPr>
          <w:p w14:paraId="37ECAC19">
            <w:pPr>
              <w:widowControl/>
              <w:spacing w:line="240" w:lineRule="auto"/>
              <w:ind w:firstLine="0" w:firstLineChars="0"/>
              <w:jc w:val="center"/>
              <w:rPr>
                <w:rFonts w:hint="eastAsia" w:ascii="宋体" w:hAnsi="宋体" w:eastAsia="宋体" w:cs="宋体"/>
                <w:kern w:val="0"/>
                <w:sz w:val="20"/>
                <w:szCs w:val="20"/>
                <w:highlight w:val="none"/>
              </w:rPr>
            </w:pPr>
            <w:r>
              <w:rPr>
                <w:rFonts w:hint="eastAsia" w:ascii="宋体" w:hAnsi="宋体" w:eastAsia="宋体" w:cs="宋体"/>
                <w:kern w:val="0"/>
                <w:sz w:val="20"/>
                <w:szCs w:val="20"/>
                <w:highlight w:val="none"/>
              </w:rPr>
              <w:t>参数规格</w:t>
            </w:r>
          </w:p>
        </w:tc>
        <w:tc>
          <w:tcPr>
            <w:tcW w:w="709" w:type="dxa"/>
            <w:vAlign w:val="center"/>
          </w:tcPr>
          <w:p w14:paraId="0D93063D">
            <w:pPr>
              <w:widowControl/>
              <w:spacing w:line="240" w:lineRule="auto"/>
              <w:ind w:firstLine="0" w:firstLineChars="0"/>
              <w:jc w:val="center"/>
              <w:rPr>
                <w:rFonts w:hint="eastAsia" w:ascii="宋体" w:hAnsi="宋体" w:eastAsia="宋体" w:cs="宋体"/>
                <w:kern w:val="0"/>
                <w:sz w:val="20"/>
                <w:szCs w:val="20"/>
                <w:highlight w:val="none"/>
              </w:rPr>
            </w:pPr>
            <w:r>
              <w:rPr>
                <w:rFonts w:hint="eastAsia" w:ascii="宋体" w:hAnsi="宋体" w:eastAsia="宋体" w:cs="宋体"/>
                <w:kern w:val="0"/>
                <w:sz w:val="20"/>
                <w:szCs w:val="20"/>
                <w:highlight w:val="none"/>
              </w:rPr>
              <w:t>数量</w:t>
            </w:r>
          </w:p>
        </w:tc>
        <w:tc>
          <w:tcPr>
            <w:tcW w:w="708" w:type="dxa"/>
            <w:vAlign w:val="center"/>
          </w:tcPr>
          <w:p w14:paraId="5C630CC1">
            <w:pPr>
              <w:widowControl/>
              <w:spacing w:line="240" w:lineRule="auto"/>
              <w:ind w:firstLine="0" w:firstLineChars="0"/>
              <w:jc w:val="center"/>
              <w:rPr>
                <w:rFonts w:hint="eastAsia" w:ascii="宋体" w:hAnsi="宋体" w:eastAsia="宋体" w:cs="宋体"/>
                <w:kern w:val="0"/>
                <w:sz w:val="20"/>
                <w:szCs w:val="20"/>
                <w:highlight w:val="none"/>
              </w:rPr>
            </w:pPr>
            <w:r>
              <w:rPr>
                <w:rFonts w:hint="eastAsia" w:ascii="宋体" w:hAnsi="宋体" w:eastAsia="宋体" w:cs="宋体"/>
                <w:kern w:val="0"/>
                <w:sz w:val="20"/>
                <w:szCs w:val="20"/>
                <w:highlight w:val="none"/>
              </w:rPr>
              <w:t>单位</w:t>
            </w:r>
          </w:p>
        </w:tc>
        <w:tc>
          <w:tcPr>
            <w:tcW w:w="851" w:type="dxa"/>
            <w:vAlign w:val="center"/>
          </w:tcPr>
          <w:p w14:paraId="5EED2399">
            <w:pPr>
              <w:widowControl/>
              <w:spacing w:line="240" w:lineRule="auto"/>
              <w:ind w:firstLine="0" w:firstLineChars="0"/>
              <w:jc w:val="center"/>
              <w:rPr>
                <w:rFonts w:hint="eastAsia" w:ascii="宋体" w:hAnsi="宋体" w:eastAsia="宋体" w:cs="宋体"/>
                <w:kern w:val="0"/>
                <w:sz w:val="20"/>
                <w:szCs w:val="20"/>
                <w:highlight w:val="none"/>
              </w:rPr>
            </w:pPr>
            <w:r>
              <w:rPr>
                <w:rFonts w:hint="eastAsia" w:ascii="宋体" w:hAnsi="宋体" w:eastAsia="宋体" w:cs="宋体"/>
                <w:kern w:val="0"/>
                <w:sz w:val="20"/>
                <w:szCs w:val="20"/>
                <w:highlight w:val="none"/>
              </w:rPr>
              <w:t>备注</w:t>
            </w:r>
          </w:p>
        </w:tc>
      </w:tr>
      <w:tr w14:paraId="10A8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709" w:type="dxa"/>
            <w:shd w:val="clear" w:color="000000" w:fill="D9D9D9"/>
            <w:vAlign w:val="center"/>
          </w:tcPr>
          <w:p w14:paraId="280069D4">
            <w:pPr>
              <w:widowControl/>
              <w:spacing w:line="240" w:lineRule="auto"/>
              <w:ind w:firstLine="0" w:firstLineChars="0"/>
              <w:jc w:val="center"/>
              <w:rPr>
                <w:rFonts w:hint="eastAsia" w:ascii="宋体" w:hAnsi="宋体" w:eastAsia="宋体" w:cs="宋体"/>
                <w:b/>
                <w:bCs/>
                <w:kern w:val="0"/>
                <w:sz w:val="20"/>
                <w:szCs w:val="20"/>
                <w:highlight w:val="none"/>
              </w:rPr>
            </w:pPr>
            <w:r>
              <w:rPr>
                <w:rFonts w:hint="eastAsia" w:ascii="宋体" w:hAnsi="宋体" w:eastAsia="宋体" w:cs="宋体"/>
                <w:b/>
                <w:bCs/>
                <w:kern w:val="0"/>
                <w:sz w:val="20"/>
                <w:szCs w:val="20"/>
                <w:highlight w:val="none"/>
              </w:rPr>
              <w:t>一</w:t>
            </w:r>
          </w:p>
        </w:tc>
        <w:tc>
          <w:tcPr>
            <w:tcW w:w="6095" w:type="dxa"/>
            <w:gridSpan w:val="4"/>
            <w:shd w:val="clear" w:color="000000" w:fill="D9D9D9"/>
            <w:vAlign w:val="center"/>
          </w:tcPr>
          <w:p w14:paraId="24756AD8">
            <w:pPr>
              <w:widowControl/>
              <w:spacing w:line="240" w:lineRule="auto"/>
              <w:ind w:firstLine="0" w:firstLineChars="0"/>
              <w:jc w:val="left"/>
              <w:rPr>
                <w:rFonts w:hint="eastAsia" w:ascii="宋体" w:hAnsi="宋体" w:eastAsia="宋体" w:cs="宋体"/>
                <w:b/>
                <w:bCs/>
                <w:kern w:val="0"/>
                <w:sz w:val="20"/>
                <w:szCs w:val="20"/>
                <w:highlight w:val="none"/>
              </w:rPr>
            </w:pPr>
            <w:r>
              <w:rPr>
                <w:rFonts w:hint="eastAsia" w:ascii="宋体" w:hAnsi="宋体" w:eastAsia="宋体" w:cs="宋体"/>
                <w:b/>
                <w:bCs/>
                <w:kern w:val="0"/>
                <w:sz w:val="20"/>
                <w:szCs w:val="20"/>
                <w:highlight w:val="none"/>
              </w:rPr>
              <w:t>外科楼（三/四层监控增补）</w:t>
            </w:r>
          </w:p>
        </w:tc>
        <w:tc>
          <w:tcPr>
            <w:tcW w:w="851" w:type="dxa"/>
            <w:shd w:val="clear" w:color="000000" w:fill="D9D9D9"/>
          </w:tcPr>
          <w:p w14:paraId="479094C5">
            <w:pPr>
              <w:widowControl/>
              <w:spacing w:line="240" w:lineRule="auto"/>
              <w:ind w:firstLine="0" w:firstLineChars="0"/>
              <w:jc w:val="left"/>
              <w:rPr>
                <w:rFonts w:hint="eastAsia" w:ascii="宋体" w:hAnsi="宋体" w:eastAsia="宋体" w:cs="宋体"/>
                <w:b/>
                <w:bCs/>
                <w:kern w:val="0"/>
                <w:sz w:val="20"/>
                <w:szCs w:val="20"/>
                <w:highlight w:val="none"/>
              </w:rPr>
            </w:pPr>
          </w:p>
        </w:tc>
      </w:tr>
      <w:tr w14:paraId="34E60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709" w:type="dxa"/>
            <w:vAlign w:val="center"/>
          </w:tcPr>
          <w:p w14:paraId="1C52A18F">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eastAsia="zh-CN"/>
              </w:rPr>
              <w:t xml:space="preserve"> </w:t>
            </w:r>
            <w:r>
              <w:rPr>
                <w:rFonts w:hint="eastAsia" w:ascii="宋体" w:hAnsi="宋体" w:eastAsia="宋体" w:cs="宋体"/>
                <w:color w:val="000000"/>
                <w:kern w:val="0"/>
                <w:sz w:val="20"/>
                <w:szCs w:val="20"/>
                <w:highlight w:val="none"/>
              </w:rPr>
              <w:t>1</w:t>
            </w:r>
          </w:p>
        </w:tc>
        <w:tc>
          <w:tcPr>
            <w:tcW w:w="2126" w:type="dxa"/>
            <w:vAlign w:val="center"/>
          </w:tcPr>
          <w:p w14:paraId="290CB654">
            <w:pPr>
              <w:widowControl/>
              <w:spacing w:line="240" w:lineRule="auto"/>
              <w:ind w:firstLine="0" w:firstLineChars="0"/>
              <w:jc w:val="left"/>
              <w:rPr>
                <w:rFonts w:hint="eastAsia" w:ascii="宋体" w:hAnsi="宋体" w:eastAsia="宋体" w:cs="宋体"/>
                <w:color w:val="000000"/>
                <w:kern w:val="0"/>
                <w:sz w:val="20"/>
                <w:szCs w:val="20"/>
                <w:highlight w:val="none"/>
              </w:rPr>
            </w:pPr>
            <w:r>
              <w:rPr>
                <w:rStyle w:val="25"/>
                <w:rFonts w:cs="宋体"/>
                <w:b w:val="0"/>
                <w:highlight w:val="none"/>
                <w:shd w:val="clear" w:color="auto" w:fill="FFFFFF"/>
              </w:rPr>
              <w:t>◆</w:t>
            </w:r>
            <w:r>
              <w:rPr>
                <w:rFonts w:hint="eastAsia" w:ascii="宋体" w:hAnsi="宋体" w:eastAsia="宋体" w:cs="宋体"/>
                <w:color w:val="000000"/>
                <w:kern w:val="0"/>
                <w:sz w:val="20"/>
                <w:szCs w:val="20"/>
                <w:highlight w:val="none"/>
              </w:rPr>
              <w:t>400W室内半球(核心产品)</w:t>
            </w:r>
          </w:p>
        </w:tc>
        <w:tc>
          <w:tcPr>
            <w:tcW w:w="2552" w:type="dxa"/>
          </w:tcPr>
          <w:p w14:paraId="67BB8403">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kern w:val="0"/>
                <w:sz w:val="20"/>
                <w:szCs w:val="20"/>
                <w:highlight w:val="none"/>
              </w:rPr>
              <w:t>详见技术和服务要求</w:t>
            </w:r>
          </w:p>
        </w:tc>
        <w:tc>
          <w:tcPr>
            <w:tcW w:w="709" w:type="dxa"/>
            <w:vAlign w:val="center"/>
          </w:tcPr>
          <w:p w14:paraId="1FC45C94">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20</w:t>
            </w:r>
          </w:p>
        </w:tc>
        <w:tc>
          <w:tcPr>
            <w:tcW w:w="708" w:type="dxa"/>
            <w:vAlign w:val="center"/>
          </w:tcPr>
          <w:p w14:paraId="4B206C69">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台</w:t>
            </w:r>
          </w:p>
        </w:tc>
        <w:tc>
          <w:tcPr>
            <w:tcW w:w="851" w:type="dxa"/>
          </w:tcPr>
          <w:p w14:paraId="35EBDF66">
            <w:pPr>
              <w:widowControl/>
              <w:spacing w:line="240" w:lineRule="auto"/>
              <w:ind w:firstLine="0" w:firstLineChars="0"/>
              <w:jc w:val="center"/>
              <w:rPr>
                <w:rFonts w:hint="eastAsia" w:ascii="宋体" w:hAnsi="宋体" w:eastAsia="宋体" w:cs="宋体"/>
                <w:color w:val="000000"/>
                <w:kern w:val="0"/>
                <w:sz w:val="20"/>
                <w:szCs w:val="20"/>
                <w:highlight w:val="none"/>
              </w:rPr>
            </w:pPr>
          </w:p>
        </w:tc>
      </w:tr>
      <w:tr w14:paraId="00DBB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709" w:type="dxa"/>
            <w:vAlign w:val="center"/>
          </w:tcPr>
          <w:p w14:paraId="50E549D1">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eastAsia="zh-CN"/>
              </w:rPr>
              <w:t xml:space="preserve"> </w:t>
            </w:r>
            <w:r>
              <w:rPr>
                <w:rFonts w:hint="eastAsia" w:ascii="宋体" w:hAnsi="宋体" w:eastAsia="宋体" w:cs="宋体"/>
                <w:color w:val="000000"/>
                <w:kern w:val="0"/>
                <w:sz w:val="20"/>
                <w:szCs w:val="20"/>
                <w:highlight w:val="none"/>
              </w:rPr>
              <w:t>2</w:t>
            </w:r>
          </w:p>
        </w:tc>
        <w:tc>
          <w:tcPr>
            <w:tcW w:w="2126" w:type="dxa"/>
            <w:vAlign w:val="center"/>
          </w:tcPr>
          <w:p w14:paraId="074DB890">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拾音器</w:t>
            </w:r>
          </w:p>
        </w:tc>
        <w:tc>
          <w:tcPr>
            <w:tcW w:w="2552" w:type="dxa"/>
          </w:tcPr>
          <w:p w14:paraId="4BAE136D">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kern w:val="0"/>
                <w:sz w:val="20"/>
                <w:szCs w:val="20"/>
                <w:highlight w:val="none"/>
              </w:rPr>
              <w:t>详见技术和服务要求</w:t>
            </w:r>
          </w:p>
        </w:tc>
        <w:tc>
          <w:tcPr>
            <w:tcW w:w="709" w:type="dxa"/>
            <w:vAlign w:val="center"/>
          </w:tcPr>
          <w:p w14:paraId="702C0F64">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708" w:type="dxa"/>
            <w:vAlign w:val="center"/>
          </w:tcPr>
          <w:p w14:paraId="65576484">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个</w:t>
            </w:r>
          </w:p>
        </w:tc>
        <w:tc>
          <w:tcPr>
            <w:tcW w:w="851" w:type="dxa"/>
          </w:tcPr>
          <w:p w14:paraId="64B7F916">
            <w:pPr>
              <w:widowControl/>
              <w:spacing w:line="240" w:lineRule="auto"/>
              <w:ind w:firstLine="0" w:firstLineChars="0"/>
              <w:jc w:val="center"/>
              <w:rPr>
                <w:rFonts w:hint="eastAsia" w:ascii="宋体" w:hAnsi="宋体" w:eastAsia="宋体" w:cs="宋体"/>
                <w:color w:val="000000"/>
                <w:kern w:val="0"/>
                <w:sz w:val="20"/>
                <w:szCs w:val="20"/>
                <w:highlight w:val="none"/>
              </w:rPr>
            </w:pPr>
          </w:p>
        </w:tc>
      </w:tr>
      <w:tr w14:paraId="7B165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709" w:type="dxa"/>
            <w:vAlign w:val="center"/>
          </w:tcPr>
          <w:p w14:paraId="313A697D">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eastAsia="zh-CN"/>
              </w:rPr>
              <w:t xml:space="preserve"> </w:t>
            </w:r>
            <w:r>
              <w:rPr>
                <w:rFonts w:hint="eastAsia" w:ascii="宋体" w:hAnsi="宋体" w:eastAsia="宋体" w:cs="宋体"/>
                <w:color w:val="000000"/>
                <w:kern w:val="0"/>
                <w:sz w:val="20"/>
                <w:szCs w:val="20"/>
                <w:highlight w:val="none"/>
              </w:rPr>
              <w:t>3</w:t>
            </w:r>
          </w:p>
        </w:tc>
        <w:tc>
          <w:tcPr>
            <w:tcW w:w="2126" w:type="dxa"/>
            <w:vAlign w:val="center"/>
          </w:tcPr>
          <w:p w14:paraId="28EDB62B">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监控存储节点</w:t>
            </w:r>
          </w:p>
        </w:tc>
        <w:tc>
          <w:tcPr>
            <w:tcW w:w="2552" w:type="dxa"/>
          </w:tcPr>
          <w:p w14:paraId="427251F8">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kern w:val="0"/>
                <w:sz w:val="20"/>
                <w:szCs w:val="20"/>
                <w:highlight w:val="none"/>
              </w:rPr>
              <w:t>详见技术和服务要求</w:t>
            </w:r>
          </w:p>
        </w:tc>
        <w:tc>
          <w:tcPr>
            <w:tcW w:w="709" w:type="dxa"/>
            <w:vAlign w:val="center"/>
          </w:tcPr>
          <w:p w14:paraId="36BF7E15">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708" w:type="dxa"/>
            <w:vAlign w:val="center"/>
          </w:tcPr>
          <w:p w14:paraId="6B54CBD6">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台</w:t>
            </w:r>
          </w:p>
        </w:tc>
        <w:tc>
          <w:tcPr>
            <w:tcW w:w="851" w:type="dxa"/>
          </w:tcPr>
          <w:p w14:paraId="2F1CB346">
            <w:pPr>
              <w:widowControl/>
              <w:spacing w:line="240" w:lineRule="auto"/>
              <w:ind w:firstLine="0" w:firstLineChars="0"/>
              <w:jc w:val="center"/>
              <w:rPr>
                <w:rFonts w:hint="eastAsia" w:ascii="宋体" w:hAnsi="宋体" w:eastAsia="宋体" w:cs="宋体"/>
                <w:color w:val="000000"/>
                <w:kern w:val="0"/>
                <w:sz w:val="20"/>
                <w:szCs w:val="20"/>
                <w:highlight w:val="none"/>
              </w:rPr>
            </w:pPr>
          </w:p>
        </w:tc>
      </w:tr>
      <w:tr w14:paraId="73AC3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709" w:type="dxa"/>
            <w:vAlign w:val="center"/>
          </w:tcPr>
          <w:p w14:paraId="28AABA13">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eastAsia="zh-CN"/>
              </w:rPr>
              <w:t xml:space="preserve"> </w:t>
            </w:r>
            <w:r>
              <w:rPr>
                <w:rFonts w:hint="eastAsia" w:ascii="宋体" w:hAnsi="宋体" w:eastAsia="宋体" w:cs="宋体"/>
                <w:color w:val="000000"/>
                <w:kern w:val="0"/>
                <w:sz w:val="20"/>
                <w:szCs w:val="20"/>
                <w:highlight w:val="none"/>
              </w:rPr>
              <w:t>4</w:t>
            </w:r>
          </w:p>
        </w:tc>
        <w:tc>
          <w:tcPr>
            <w:tcW w:w="2126" w:type="dxa"/>
            <w:vAlign w:val="center"/>
          </w:tcPr>
          <w:p w14:paraId="38B12C17">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监控硬盘</w:t>
            </w:r>
          </w:p>
        </w:tc>
        <w:tc>
          <w:tcPr>
            <w:tcW w:w="2552" w:type="dxa"/>
          </w:tcPr>
          <w:p w14:paraId="7FF5493D">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kern w:val="0"/>
                <w:sz w:val="20"/>
                <w:szCs w:val="20"/>
                <w:highlight w:val="none"/>
              </w:rPr>
              <w:t>详见技术和服务要求</w:t>
            </w:r>
          </w:p>
        </w:tc>
        <w:tc>
          <w:tcPr>
            <w:tcW w:w="709" w:type="dxa"/>
            <w:vAlign w:val="center"/>
          </w:tcPr>
          <w:p w14:paraId="0007B608">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14</w:t>
            </w:r>
          </w:p>
        </w:tc>
        <w:tc>
          <w:tcPr>
            <w:tcW w:w="708" w:type="dxa"/>
            <w:vAlign w:val="center"/>
          </w:tcPr>
          <w:p w14:paraId="42DEF09A">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块</w:t>
            </w:r>
          </w:p>
        </w:tc>
        <w:tc>
          <w:tcPr>
            <w:tcW w:w="851" w:type="dxa"/>
          </w:tcPr>
          <w:p w14:paraId="7DC1176A">
            <w:pPr>
              <w:widowControl/>
              <w:spacing w:line="240" w:lineRule="auto"/>
              <w:ind w:firstLine="0" w:firstLineChars="0"/>
              <w:jc w:val="center"/>
              <w:rPr>
                <w:rFonts w:hint="eastAsia" w:ascii="宋体" w:hAnsi="宋体" w:eastAsia="宋体" w:cs="宋体"/>
                <w:color w:val="000000"/>
                <w:kern w:val="0"/>
                <w:sz w:val="20"/>
                <w:szCs w:val="20"/>
                <w:highlight w:val="none"/>
              </w:rPr>
            </w:pPr>
          </w:p>
        </w:tc>
      </w:tr>
      <w:tr w14:paraId="5DAC0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709" w:type="dxa"/>
            <w:vAlign w:val="center"/>
          </w:tcPr>
          <w:p w14:paraId="709E5F56">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eastAsia="zh-CN"/>
              </w:rPr>
              <w:t xml:space="preserve"> </w:t>
            </w:r>
            <w:r>
              <w:rPr>
                <w:rFonts w:hint="eastAsia" w:ascii="宋体" w:hAnsi="宋体" w:eastAsia="宋体" w:cs="宋体"/>
                <w:color w:val="000000"/>
                <w:kern w:val="0"/>
                <w:sz w:val="20"/>
                <w:szCs w:val="20"/>
                <w:highlight w:val="none"/>
              </w:rPr>
              <w:t>5</w:t>
            </w:r>
          </w:p>
        </w:tc>
        <w:tc>
          <w:tcPr>
            <w:tcW w:w="2126" w:type="dxa"/>
            <w:vAlign w:val="center"/>
          </w:tcPr>
          <w:p w14:paraId="06BC4B19">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视频通道数扩容授权</w:t>
            </w:r>
          </w:p>
        </w:tc>
        <w:tc>
          <w:tcPr>
            <w:tcW w:w="2552" w:type="dxa"/>
          </w:tcPr>
          <w:p w14:paraId="0099C472">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kern w:val="0"/>
                <w:sz w:val="20"/>
                <w:szCs w:val="20"/>
                <w:highlight w:val="none"/>
              </w:rPr>
              <w:t>详见技术和服务要求</w:t>
            </w:r>
          </w:p>
        </w:tc>
        <w:tc>
          <w:tcPr>
            <w:tcW w:w="709" w:type="dxa"/>
            <w:vAlign w:val="center"/>
          </w:tcPr>
          <w:p w14:paraId="2611EC08">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50</w:t>
            </w:r>
          </w:p>
        </w:tc>
        <w:tc>
          <w:tcPr>
            <w:tcW w:w="708" w:type="dxa"/>
            <w:vAlign w:val="center"/>
          </w:tcPr>
          <w:p w14:paraId="1898C59A">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路</w:t>
            </w:r>
          </w:p>
        </w:tc>
        <w:tc>
          <w:tcPr>
            <w:tcW w:w="851" w:type="dxa"/>
          </w:tcPr>
          <w:p w14:paraId="37E169FE">
            <w:pPr>
              <w:widowControl/>
              <w:spacing w:line="240" w:lineRule="auto"/>
              <w:ind w:firstLine="0" w:firstLineChars="0"/>
              <w:jc w:val="center"/>
              <w:rPr>
                <w:rFonts w:hint="eastAsia" w:ascii="宋体" w:hAnsi="宋体" w:eastAsia="宋体" w:cs="宋体"/>
                <w:color w:val="000000"/>
                <w:kern w:val="0"/>
                <w:sz w:val="20"/>
                <w:szCs w:val="20"/>
                <w:highlight w:val="none"/>
              </w:rPr>
            </w:pPr>
          </w:p>
        </w:tc>
      </w:tr>
      <w:tr w14:paraId="6BAC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709" w:type="dxa"/>
            <w:vAlign w:val="center"/>
          </w:tcPr>
          <w:p w14:paraId="31153D32">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eastAsia="zh-CN"/>
              </w:rPr>
              <w:t xml:space="preserve"> </w:t>
            </w:r>
            <w:r>
              <w:rPr>
                <w:rFonts w:hint="eastAsia" w:ascii="宋体" w:hAnsi="宋体" w:eastAsia="宋体" w:cs="宋体"/>
                <w:color w:val="000000"/>
                <w:kern w:val="0"/>
                <w:sz w:val="20"/>
                <w:szCs w:val="20"/>
                <w:highlight w:val="none"/>
              </w:rPr>
              <w:t>6</w:t>
            </w:r>
          </w:p>
        </w:tc>
        <w:tc>
          <w:tcPr>
            <w:tcW w:w="2126" w:type="dxa"/>
            <w:vAlign w:val="center"/>
          </w:tcPr>
          <w:p w14:paraId="16D96FD9">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24口POE接入交换机</w:t>
            </w:r>
          </w:p>
        </w:tc>
        <w:tc>
          <w:tcPr>
            <w:tcW w:w="2552" w:type="dxa"/>
          </w:tcPr>
          <w:p w14:paraId="2EA492A7">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kern w:val="0"/>
                <w:sz w:val="20"/>
                <w:szCs w:val="20"/>
                <w:highlight w:val="none"/>
              </w:rPr>
              <w:t>详见技术和服务要求</w:t>
            </w:r>
          </w:p>
        </w:tc>
        <w:tc>
          <w:tcPr>
            <w:tcW w:w="709" w:type="dxa"/>
            <w:vAlign w:val="center"/>
          </w:tcPr>
          <w:p w14:paraId="7A9ADAB2">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w:t>
            </w:r>
          </w:p>
        </w:tc>
        <w:tc>
          <w:tcPr>
            <w:tcW w:w="708" w:type="dxa"/>
            <w:vAlign w:val="center"/>
          </w:tcPr>
          <w:p w14:paraId="21C4CA30">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台</w:t>
            </w:r>
          </w:p>
        </w:tc>
        <w:tc>
          <w:tcPr>
            <w:tcW w:w="851" w:type="dxa"/>
          </w:tcPr>
          <w:p w14:paraId="158D6018">
            <w:pPr>
              <w:widowControl/>
              <w:spacing w:line="240" w:lineRule="auto"/>
              <w:ind w:firstLine="0" w:firstLineChars="0"/>
              <w:jc w:val="center"/>
              <w:rPr>
                <w:rFonts w:hint="eastAsia" w:ascii="宋体" w:hAnsi="宋体" w:eastAsia="宋体" w:cs="宋体"/>
                <w:color w:val="000000"/>
                <w:kern w:val="0"/>
                <w:sz w:val="20"/>
                <w:szCs w:val="20"/>
                <w:highlight w:val="none"/>
              </w:rPr>
            </w:pPr>
          </w:p>
        </w:tc>
      </w:tr>
      <w:tr w14:paraId="7756E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709" w:type="dxa"/>
            <w:vAlign w:val="center"/>
          </w:tcPr>
          <w:p w14:paraId="605DB260">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eastAsia="zh-CN"/>
              </w:rPr>
              <w:t xml:space="preserve"> </w:t>
            </w:r>
            <w:r>
              <w:rPr>
                <w:rFonts w:hint="eastAsia" w:ascii="宋体" w:hAnsi="宋体" w:eastAsia="宋体" w:cs="宋体"/>
                <w:color w:val="000000"/>
                <w:kern w:val="0"/>
                <w:sz w:val="20"/>
                <w:szCs w:val="20"/>
                <w:highlight w:val="none"/>
              </w:rPr>
              <w:t>7</w:t>
            </w:r>
          </w:p>
        </w:tc>
        <w:tc>
          <w:tcPr>
            <w:tcW w:w="2126" w:type="dxa"/>
            <w:vAlign w:val="center"/>
          </w:tcPr>
          <w:p w14:paraId="0590E598">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6U机柜</w:t>
            </w:r>
          </w:p>
        </w:tc>
        <w:tc>
          <w:tcPr>
            <w:tcW w:w="2552" w:type="dxa"/>
          </w:tcPr>
          <w:p w14:paraId="22C4AE18">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kern w:val="0"/>
                <w:sz w:val="20"/>
                <w:szCs w:val="20"/>
                <w:highlight w:val="none"/>
              </w:rPr>
              <w:t>详见技术和服务要求</w:t>
            </w:r>
          </w:p>
        </w:tc>
        <w:tc>
          <w:tcPr>
            <w:tcW w:w="709" w:type="dxa"/>
            <w:vAlign w:val="center"/>
          </w:tcPr>
          <w:p w14:paraId="6E579932">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708" w:type="dxa"/>
            <w:vAlign w:val="center"/>
          </w:tcPr>
          <w:p w14:paraId="319D0222">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个</w:t>
            </w:r>
          </w:p>
        </w:tc>
        <w:tc>
          <w:tcPr>
            <w:tcW w:w="851" w:type="dxa"/>
          </w:tcPr>
          <w:p w14:paraId="6F67ACA3">
            <w:pPr>
              <w:widowControl/>
              <w:spacing w:line="240" w:lineRule="auto"/>
              <w:ind w:firstLine="0" w:firstLineChars="0"/>
              <w:jc w:val="center"/>
              <w:rPr>
                <w:rFonts w:hint="eastAsia" w:ascii="宋体" w:hAnsi="宋体" w:eastAsia="宋体" w:cs="宋体"/>
                <w:color w:val="000000"/>
                <w:kern w:val="0"/>
                <w:sz w:val="20"/>
                <w:szCs w:val="20"/>
                <w:highlight w:val="none"/>
              </w:rPr>
            </w:pPr>
          </w:p>
        </w:tc>
      </w:tr>
      <w:tr w14:paraId="6811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709" w:type="dxa"/>
            <w:vAlign w:val="center"/>
          </w:tcPr>
          <w:p w14:paraId="4DE6C1D9">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eastAsia="zh-CN"/>
              </w:rPr>
              <w:t xml:space="preserve"> </w:t>
            </w:r>
            <w:r>
              <w:rPr>
                <w:rFonts w:hint="eastAsia" w:ascii="宋体" w:hAnsi="宋体" w:eastAsia="宋体" w:cs="宋体"/>
                <w:color w:val="000000"/>
                <w:kern w:val="0"/>
                <w:sz w:val="20"/>
                <w:szCs w:val="20"/>
                <w:highlight w:val="none"/>
              </w:rPr>
              <w:t>8</w:t>
            </w:r>
          </w:p>
        </w:tc>
        <w:tc>
          <w:tcPr>
            <w:tcW w:w="2126" w:type="dxa"/>
            <w:vAlign w:val="center"/>
          </w:tcPr>
          <w:p w14:paraId="28A785CA">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监控主干电源线</w:t>
            </w:r>
          </w:p>
        </w:tc>
        <w:tc>
          <w:tcPr>
            <w:tcW w:w="2552" w:type="dxa"/>
            <w:shd w:val="clear" w:color="000000" w:fill="FFFFFF"/>
          </w:tcPr>
          <w:p w14:paraId="3DC455B3">
            <w:pPr>
              <w:widowControl/>
              <w:spacing w:line="240" w:lineRule="auto"/>
              <w:ind w:firstLine="0" w:firstLineChars="0"/>
              <w:jc w:val="left"/>
              <w:rPr>
                <w:rFonts w:hint="eastAsia" w:ascii="宋体" w:hAnsi="宋体" w:eastAsia="宋体" w:cs="宋体"/>
                <w:kern w:val="0"/>
                <w:sz w:val="20"/>
                <w:szCs w:val="20"/>
                <w:highlight w:val="none"/>
              </w:rPr>
            </w:pPr>
            <w:r>
              <w:rPr>
                <w:rFonts w:hint="eastAsia" w:ascii="宋体" w:hAnsi="宋体" w:eastAsia="宋体" w:cs="宋体"/>
                <w:kern w:val="0"/>
                <w:sz w:val="20"/>
                <w:szCs w:val="20"/>
                <w:highlight w:val="none"/>
              </w:rPr>
              <w:t>详见技术和服务要求</w:t>
            </w:r>
          </w:p>
        </w:tc>
        <w:tc>
          <w:tcPr>
            <w:tcW w:w="709" w:type="dxa"/>
            <w:vAlign w:val="center"/>
          </w:tcPr>
          <w:p w14:paraId="30187A29">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708" w:type="dxa"/>
            <w:vAlign w:val="center"/>
          </w:tcPr>
          <w:p w14:paraId="36135155">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捆</w:t>
            </w:r>
          </w:p>
        </w:tc>
        <w:tc>
          <w:tcPr>
            <w:tcW w:w="851" w:type="dxa"/>
          </w:tcPr>
          <w:p w14:paraId="1E240CF0">
            <w:pPr>
              <w:widowControl/>
              <w:spacing w:line="240" w:lineRule="auto"/>
              <w:ind w:firstLine="0" w:firstLineChars="0"/>
              <w:jc w:val="center"/>
              <w:rPr>
                <w:rFonts w:hint="eastAsia" w:ascii="宋体" w:hAnsi="宋体" w:eastAsia="宋体" w:cs="宋体"/>
                <w:color w:val="000000"/>
                <w:kern w:val="0"/>
                <w:sz w:val="20"/>
                <w:szCs w:val="20"/>
                <w:highlight w:val="none"/>
              </w:rPr>
            </w:pPr>
          </w:p>
        </w:tc>
      </w:tr>
      <w:tr w14:paraId="3C6B9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709" w:type="dxa"/>
            <w:vAlign w:val="center"/>
          </w:tcPr>
          <w:p w14:paraId="561B9722">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eastAsia="zh-CN"/>
              </w:rPr>
              <w:t xml:space="preserve"> </w:t>
            </w:r>
            <w:r>
              <w:rPr>
                <w:rFonts w:hint="eastAsia" w:ascii="宋体" w:hAnsi="宋体" w:eastAsia="宋体" w:cs="宋体"/>
                <w:color w:val="000000"/>
                <w:kern w:val="0"/>
                <w:sz w:val="20"/>
                <w:szCs w:val="20"/>
                <w:highlight w:val="none"/>
              </w:rPr>
              <w:t>9</w:t>
            </w:r>
          </w:p>
        </w:tc>
        <w:tc>
          <w:tcPr>
            <w:tcW w:w="2126" w:type="dxa"/>
            <w:vAlign w:val="center"/>
          </w:tcPr>
          <w:p w14:paraId="7B81DA60">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六类非屏蔽双绞线</w:t>
            </w:r>
          </w:p>
        </w:tc>
        <w:tc>
          <w:tcPr>
            <w:tcW w:w="2552" w:type="dxa"/>
            <w:shd w:val="clear" w:color="000000" w:fill="FFFFFF"/>
          </w:tcPr>
          <w:p w14:paraId="3FA38BB6">
            <w:pPr>
              <w:widowControl/>
              <w:spacing w:line="240" w:lineRule="auto"/>
              <w:ind w:firstLine="0" w:firstLineChars="0"/>
              <w:jc w:val="left"/>
              <w:rPr>
                <w:rFonts w:hint="eastAsia" w:ascii="宋体" w:hAnsi="宋体" w:eastAsia="宋体" w:cs="宋体"/>
                <w:kern w:val="0"/>
                <w:sz w:val="20"/>
                <w:szCs w:val="20"/>
                <w:highlight w:val="none"/>
              </w:rPr>
            </w:pPr>
            <w:r>
              <w:rPr>
                <w:rFonts w:hint="eastAsia" w:ascii="宋体" w:hAnsi="宋体" w:eastAsia="宋体" w:cs="宋体"/>
                <w:kern w:val="0"/>
                <w:sz w:val="20"/>
                <w:szCs w:val="20"/>
                <w:highlight w:val="none"/>
              </w:rPr>
              <w:t>详见技术和服务要求</w:t>
            </w:r>
          </w:p>
        </w:tc>
        <w:tc>
          <w:tcPr>
            <w:tcW w:w="709" w:type="dxa"/>
            <w:vAlign w:val="center"/>
          </w:tcPr>
          <w:p w14:paraId="0033A242">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4</w:t>
            </w:r>
          </w:p>
        </w:tc>
        <w:tc>
          <w:tcPr>
            <w:tcW w:w="708" w:type="dxa"/>
            <w:vAlign w:val="center"/>
          </w:tcPr>
          <w:p w14:paraId="57E468FC">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箱</w:t>
            </w:r>
          </w:p>
        </w:tc>
        <w:tc>
          <w:tcPr>
            <w:tcW w:w="851" w:type="dxa"/>
          </w:tcPr>
          <w:p w14:paraId="709C6F6D">
            <w:pPr>
              <w:widowControl/>
              <w:spacing w:line="240" w:lineRule="auto"/>
              <w:ind w:firstLine="0" w:firstLineChars="0"/>
              <w:jc w:val="center"/>
              <w:rPr>
                <w:rFonts w:hint="eastAsia" w:ascii="宋体" w:hAnsi="宋体" w:eastAsia="宋体" w:cs="宋体"/>
                <w:color w:val="000000"/>
                <w:kern w:val="0"/>
                <w:sz w:val="20"/>
                <w:szCs w:val="20"/>
                <w:highlight w:val="none"/>
              </w:rPr>
            </w:pPr>
          </w:p>
        </w:tc>
      </w:tr>
      <w:tr w14:paraId="01E8F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709" w:type="dxa"/>
            <w:vAlign w:val="center"/>
          </w:tcPr>
          <w:p w14:paraId="5BCAF4B6">
            <w:pPr>
              <w:widowControl/>
              <w:spacing w:line="240" w:lineRule="auto"/>
              <w:ind w:firstLine="0" w:firstLineChars="0"/>
              <w:jc w:val="center"/>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rPr>
              <w:t>1</w:t>
            </w:r>
            <w:r>
              <w:rPr>
                <w:rFonts w:hint="eastAsia" w:ascii="宋体" w:hAnsi="宋体" w:eastAsia="宋体" w:cs="宋体"/>
                <w:color w:val="000000"/>
                <w:kern w:val="0"/>
                <w:sz w:val="20"/>
                <w:szCs w:val="20"/>
                <w:highlight w:val="none"/>
                <w:lang w:val="en-US" w:eastAsia="zh-CN"/>
              </w:rPr>
              <w:t>0</w:t>
            </w:r>
          </w:p>
        </w:tc>
        <w:tc>
          <w:tcPr>
            <w:tcW w:w="2126" w:type="dxa"/>
            <w:vAlign w:val="center"/>
          </w:tcPr>
          <w:p w14:paraId="141ACBE7">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PVC20管</w:t>
            </w:r>
          </w:p>
        </w:tc>
        <w:tc>
          <w:tcPr>
            <w:tcW w:w="2552" w:type="dxa"/>
            <w:shd w:val="clear" w:color="000000" w:fill="FFFFFF"/>
            <w:vAlign w:val="center"/>
          </w:tcPr>
          <w:p w14:paraId="630D11F7">
            <w:pPr>
              <w:widowControl/>
              <w:spacing w:line="240" w:lineRule="auto"/>
              <w:ind w:firstLine="0" w:firstLineChars="0"/>
              <w:jc w:val="left"/>
              <w:rPr>
                <w:rFonts w:hint="eastAsia" w:ascii="宋体" w:hAnsi="宋体" w:eastAsia="宋体" w:cs="宋体"/>
                <w:kern w:val="0"/>
                <w:sz w:val="20"/>
                <w:szCs w:val="20"/>
                <w:highlight w:val="none"/>
              </w:rPr>
            </w:pPr>
            <w:r>
              <w:rPr>
                <w:rFonts w:hint="eastAsia" w:ascii="宋体" w:hAnsi="宋体" w:eastAsia="宋体" w:cs="宋体"/>
                <w:kern w:val="0"/>
                <w:sz w:val="20"/>
                <w:szCs w:val="20"/>
                <w:highlight w:val="none"/>
              </w:rPr>
              <w:t>详见技术和服务要求</w:t>
            </w:r>
          </w:p>
        </w:tc>
        <w:tc>
          <w:tcPr>
            <w:tcW w:w="709" w:type="dxa"/>
            <w:vAlign w:val="center"/>
          </w:tcPr>
          <w:p w14:paraId="077721A7">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830</w:t>
            </w:r>
          </w:p>
        </w:tc>
        <w:tc>
          <w:tcPr>
            <w:tcW w:w="708" w:type="dxa"/>
            <w:vAlign w:val="center"/>
          </w:tcPr>
          <w:p w14:paraId="0052ACE2">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米</w:t>
            </w:r>
          </w:p>
        </w:tc>
        <w:tc>
          <w:tcPr>
            <w:tcW w:w="851" w:type="dxa"/>
          </w:tcPr>
          <w:p w14:paraId="7EBF09D4">
            <w:pPr>
              <w:widowControl/>
              <w:spacing w:line="240" w:lineRule="auto"/>
              <w:ind w:firstLine="0" w:firstLineChars="0"/>
              <w:jc w:val="center"/>
              <w:rPr>
                <w:rFonts w:hint="eastAsia" w:ascii="宋体" w:hAnsi="宋体" w:eastAsia="宋体" w:cs="宋体"/>
                <w:color w:val="000000"/>
                <w:kern w:val="0"/>
                <w:sz w:val="20"/>
                <w:szCs w:val="20"/>
                <w:highlight w:val="none"/>
              </w:rPr>
            </w:pPr>
          </w:p>
        </w:tc>
      </w:tr>
      <w:tr w14:paraId="726C9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709" w:type="dxa"/>
            <w:shd w:val="clear" w:color="000000" w:fill="D9D9D9"/>
            <w:vAlign w:val="center"/>
          </w:tcPr>
          <w:p w14:paraId="10C05C87">
            <w:pPr>
              <w:widowControl/>
              <w:spacing w:line="240" w:lineRule="auto"/>
              <w:ind w:firstLine="0" w:firstLineChars="0"/>
              <w:jc w:val="center"/>
              <w:rPr>
                <w:rFonts w:hint="eastAsia" w:ascii="宋体" w:hAnsi="宋体" w:eastAsia="宋体" w:cs="宋体"/>
                <w:b/>
                <w:bCs/>
                <w:color w:val="000000"/>
                <w:kern w:val="0"/>
                <w:sz w:val="20"/>
                <w:szCs w:val="20"/>
                <w:highlight w:val="none"/>
              </w:rPr>
            </w:pPr>
            <w:r>
              <w:rPr>
                <w:rFonts w:hint="eastAsia" w:ascii="宋体" w:hAnsi="宋体" w:eastAsia="宋体" w:cs="宋体"/>
                <w:b/>
                <w:bCs/>
                <w:color w:val="000000"/>
                <w:kern w:val="0"/>
                <w:sz w:val="20"/>
                <w:szCs w:val="20"/>
                <w:highlight w:val="none"/>
              </w:rPr>
              <w:t>二</w:t>
            </w:r>
          </w:p>
        </w:tc>
        <w:tc>
          <w:tcPr>
            <w:tcW w:w="6095" w:type="dxa"/>
            <w:gridSpan w:val="4"/>
            <w:shd w:val="clear" w:color="000000" w:fill="D9D9D9"/>
            <w:vAlign w:val="center"/>
          </w:tcPr>
          <w:p w14:paraId="3EAA6216">
            <w:pPr>
              <w:widowControl/>
              <w:spacing w:line="240" w:lineRule="auto"/>
              <w:ind w:firstLine="0" w:firstLineChars="0"/>
              <w:jc w:val="left"/>
              <w:rPr>
                <w:rFonts w:hint="eastAsia" w:ascii="宋体" w:hAnsi="宋体" w:eastAsia="宋体" w:cs="宋体"/>
                <w:b/>
                <w:bCs/>
                <w:color w:val="000000"/>
                <w:kern w:val="0"/>
                <w:sz w:val="20"/>
                <w:szCs w:val="20"/>
                <w:highlight w:val="none"/>
              </w:rPr>
            </w:pPr>
            <w:r>
              <w:rPr>
                <w:rFonts w:hint="eastAsia" w:ascii="宋体" w:hAnsi="宋体" w:eastAsia="宋体" w:cs="宋体"/>
                <w:b/>
                <w:bCs/>
                <w:color w:val="000000"/>
                <w:kern w:val="0"/>
                <w:sz w:val="20"/>
                <w:szCs w:val="20"/>
                <w:highlight w:val="none"/>
              </w:rPr>
              <w:t>内科楼地下一层</w:t>
            </w:r>
          </w:p>
        </w:tc>
        <w:tc>
          <w:tcPr>
            <w:tcW w:w="851" w:type="dxa"/>
            <w:shd w:val="clear" w:color="000000" w:fill="D9D9D9"/>
          </w:tcPr>
          <w:p w14:paraId="2981C4EE">
            <w:pPr>
              <w:widowControl/>
              <w:spacing w:line="240" w:lineRule="auto"/>
              <w:ind w:firstLine="0" w:firstLineChars="0"/>
              <w:jc w:val="left"/>
              <w:rPr>
                <w:rFonts w:hint="eastAsia" w:ascii="宋体" w:hAnsi="宋体" w:eastAsia="宋体" w:cs="宋体"/>
                <w:b/>
                <w:bCs/>
                <w:color w:val="000000"/>
                <w:kern w:val="0"/>
                <w:sz w:val="20"/>
                <w:szCs w:val="20"/>
                <w:highlight w:val="none"/>
              </w:rPr>
            </w:pPr>
          </w:p>
        </w:tc>
      </w:tr>
      <w:tr w14:paraId="08BD8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709" w:type="dxa"/>
            <w:vAlign w:val="center"/>
          </w:tcPr>
          <w:p w14:paraId="7C68B09F">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eastAsia="zh-CN"/>
              </w:rPr>
              <w:t xml:space="preserve">  </w:t>
            </w:r>
            <w:r>
              <w:rPr>
                <w:rFonts w:hint="eastAsia" w:ascii="宋体" w:hAnsi="宋体" w:eastAsia="宋体" w:cs="宋体"/>
                <w:color w:val="000000"/>
                <w:kern w:val="0"/>
                <w:sz w:val="20"/>
                <w:szCs w:val="20"/>
                <w:highlight w:val="none"/>
              </w:rPr>
              <w:t>1</w:t>
            </w:r>
          </w:p>
        </w:tc>
        <w:tc>
          <w:tcPr>
            <w:tcW w:w="2126" w:type="dxa"/>
            <w:vAlign w:val="center"/>
          </w:tcPr>
          <w:p w14:paraId="574CB38E">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400W室内枪机</w:t>
            </w:r>
          </w:p>
        </w:tc>
        <w:tc>
          <w:tcPr>
            <w:tcW w:w="2552" w:type="dxa"/>
            <w:shd w:val="clear" w:color="000000" w:fill="FFFFFF"/>
          </w:tcPr>
          <w:p w14:paraId="349128BA">
            <w:pPr>
              <w:widowControl/>
              <w:spacing w:line="240" w:lineRule="auto"/>
              <w:ind w:firstLine="0" w:firstLineChars="0"/>
              <w:jc w:val="left"/>
              <w:rPr>
                <w:rFonts w:hint="eastAsia" w:ascii="宋体" w:hAnsi="宋体" w:eastAsia="宋体" w:cs="宋体"/>
                <w:kern w:val="0"/>
                <w:sz w:val="20"/>
                <w:szCs w:val="20"/>
                <w:highlight w:val="none"/>
              </w:rPr>
            </w:pPr>
            <w:r>
              <w:rPr>
                <w:rFonts w:hint="eastAsia" w:ascii="宋体" w:hAnsi="宋体" w:eastAsia="宋体" w:cs="宋体"/>
                <w:kern w:val="0"/>
                <w:sz w:val="20"/>
                <w:szCs w:val="20"/>
                <w:highlight w:val="none"/>
              </w:rPr>
              <w:t>详见技术和服务要求</w:t>
            </w:r>
          </w:p>
        </w:tc>
        <w:tc>
          <w:tcPr>
            <w:tcW w:w="709" w:type="dxa"/>
            <w:vAlign w:val="center"/>
          </w:tcPr>
          <w:p w14:paraId="3FD42EC1">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10</w:t>
            </w:r>
          </w:p>
        </w:tc>
        <w:tc>
          <w:tcPr>
            <w:tcW w:w="708" w:type="dxa"/>
            <w:vAlign w:val="center"/>
          </w:tcPr>
          <w:p w14:paraId="4A126B05">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台</w:t>
            </w:r>
          </w:p>
        </w:tc>
        <w:tc>
          <w:tcPr>
            <w:tcW w:w="851" w:type="dxa"/>
          </w:tcPr>
          <w:p w14:paraId="3FA06E8A">
            <w:pPr>
              <w:widowControl/>
              <w:spacing w:line="240" w:lineRule="auto"/>
              <w:ind w:firstLine="0" w:firstLineChars="0"/>
              <w:jc w:val="center"/>
              <w:rPr>
                <w:rFonts w:hint="eastAsia" w:ascii="宋体" w:hAnsi="宋体" w:eastAsia="宋体" w:cs="宋体"/>
                <w:color w:val="000000"/>
                <w:kern w:val="0"/>
                <w:sz w:val="20"/>
                <w:szCs w:val="20"/>
                <w:highlight w:val="none"/>
              </w:rPr>
            </w:pPr>
          </w:p>
        </w:tc>
      </w:tr>
      <w:tr w14:paraId="336F0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709" w:type="dxa"/>
            <w:vAlign w:val="center"/>
          </w:tcPr>
          <w:p w14:paraId="07CC8B83">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eastAsia="zh-CN"/>
              </w:rPr>
              <w:t xml:space="preserve">  </w:t>
            </w:r>
            <w:r>
              <w:rPr>
                <w:rFonts w:hint="eastAsia" w:ascii="宋体" w:hAnsi="宋体" w:eastAsia="宋体" w:cs="宋体"/>
                <w:color w:val="000000"/>
                <w:kern w:val="0"/>
                <w:sz w:val="20"/>
                <w:szCs w:val="20"/>
                <w:highlight w:val="none"/>
              </w:rPr>
              <w:t>2</w:t>
            </w:r>
          </w:p>
        </w:tc>
        <w:tc>
          <w:tcPr>
            <w:tcW w:w="2126" w:type="dxa"/>
            <w:vAlign w:val="center"/>
          </w:tcPr>
          <w:p w14:paraId="4D10D50A">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监控存储节点</w:t>
            </w:r>
          </w:p>
        </w:tc>
        <w:tc>
          <w:tcPr>
            <w:tcW w:w="2552" w:type="dxa"/>
            <w:shd w:val="clear" w:color="000000" w:fill="FFFFFF"/>
          </w:tcPr>
          <w:p w14:paraId="19C9C02B">
            <w:pPr>
              <w:widowControl/>
              <w:spacing w:line="240" w:lineRule="auto"/>
              <w:ind w:firstLine="0" w:firstLineChars="0"/>
              <w:jc w:val="left"/>
              <w:rPr>
                <w:rFonts w:hint="eastAsia" w:ascii="宋体" w:hAnsi="宋体" w:eastAsia="宋体" w:cs="宋体"/>
                <w:kern w:val="0"/>
                <w:sz w:val="20"/>
                <w:szCs w:val="20"/>
                <w:highlight w:val="none"/>
              </w:rPr>
            </w:pPr>
            <w:r>
              <w:rPr>
                <w:rFonts w:hint="eastAsia" w:ascii="宋体" w:hAnsi="宋体" w:eastAsia="宋体" w:cs="宋体"/>
                <w:kern w:val="0"/>
                <w:sz w:val="20"/>
                <w:szCs w:val="20"/>
                <w:highlight w:val="none"/>
              </w:rPr>
              <w:t>详见技术和服务要求</w:t>
            </w:r>
          </w:p>
        </w:tc>
        <w:tc>
          <w:tcPr>
            <w:tcW w:w="709" w:type="dxa"/>
            <w:vAlign w:val="center"/>
          </w:tcPr>
          <w:p w14:paraId="6BDDFBCC">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708" w:type="dxa"/>
            <w:vAlign w:val="center"/>
          </w:tcPr>
          <w:p w14:paraId="3E11BA92">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台</w:t>
            </w:r>
          </w:p>
        </w:tc>
        <w:tc>
          <w:tcPr>
            <w:tcW w:w="851" w:type="dxa"/>
          </w:tcPr>
          <w:p w14:paraId="492F3773">
            <w:pPr>
              <w:widowControl/>
              <w:spacing w:line="240" w:lineRule="auto"/>
              <w:ind w:firstLine="0" w:firstLineChars="0"/>
              <w:jc w:val="center"/>
              <w:rPr>
                <w:rFonts w:hint="eastAsia" w:ascii="宋体" w:hAnsi="宋体" w:eastAsia="宋体" w:cs="宋体"/>
                <w:color w:val="000000"/>
                <w:kern w:val="0"/>
                <w:sz w:val="20"/>
                <w:szCs w:val="20"/>
                <w:highlight w:val="none"/>
              </w:rPr>
            </w:pPr>
          </w:p>
        </w:tc>
      </w:tr>
      <w:tr w14:paraId="065CB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709" w:type="dxa"/>
            <w:vAlign w:val="center"/>
          </w:tcPr>
          <w:p w14:paraId="725AEA00">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eastAsia="zh-CN"/>
              </w:rPr>
              <w:t xml:space="preserve">  </w:t>
            </w:r>
            <w:r>
              <w:rPr>
                <w:rFonts w:hint="eastAsia" w:ascii="宋体" w:hAnsi="宋体" w:eastAsia="宋体" w:cs="宋体"/>
                <w:color w:val="000000"/>
                <w:kern w:val="0"/>
                <w:sz w:val="20"/>
                <w:szCs w:val="20"/>
                <w:highlight w:val="none"/>
              </w:rPr>
              <w:t>3</w:t>
            </w:r>
          </w:p>
        </w:tc>
        <w:tc>
          <w:tcPr>
            <w:tcW w:w="2126" w:type="dxa"/>
            <w:vAlign w:val="center"/>
          </w:tcPr>
          <w:p w14:paraId="24CFFDDC">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监控硬盘</w:t>
            </w:r>
          </w:p>
        </w:tc>
        <w:tc>
          <w:tcPr>
            <w:tcW w:w="2552" w:type="dxa"/>
            <w:shd w:val="clear" w:color="000000" w:fill="FFFFFF"/>
          </w:tcPr>
          <w:p w14:paraId="5A4A9E23">
            <w:pPr>
              <w:widowControl/>
              <w:spacing w:line="240" w:lineRule="auto"/>
              <w:ind w:firstLine="0" w:firstLineChars="0"/>
              <w:jc w:val="left"/>
              <w:rPr>
                <w:rFonts w:hint="eastAsia" w:ascii="宋体" w:hAnsi="宋体" w:eastAsia="宋体" w:cs="宋体"/>
                <w:kern w:val="0"/>
                <w:sz w:val="20"/>
                <w:szCs w:val="20"/>
                <w:highlight w:val="none"/>
              </w:rPr>
            </w:pPr>
            <w:r>
              <w:rPr>
                <w:rFonts w:hint="eastAsia" w:ascii="宋体" w:hAnsi="宋体" w:eastAsia="宋体" w:cs="宋体"/>
                <w:kern w:val="0"/>
                <w:sz w:val="20"/>
                <w:szCs w:val="20"/>
                <w:highlight w:val="none"/>
              </w:rPr>
              <w:t>详见技术和服务要求</w:t>
            </w:r>
          </w:p>
        </w:tc>
        <w:tc>
          <w:tcPr>
            <w:tcW w:w="709" w:type="dxa"/>
            <w:vAlign w:val="center"/>
          </w:tcPr>
          <w:p w14:paraId="7BA18DE9">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7</w:t>
            </w:r>
          </w:p>
        </w:tc>
        <w:tc>
          <w:tcPr>
            <w:tcW w:w="708" w:type="dxa"/>
            <w:vAlign w:val="center"/>
          </w:tcPr>
          <w:p w14:paraId="7FCE24BE">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块</w:t>
            </w:r>
          </w:p>
        </w:tc>
        <w:tc>
          <w:tcPr>
            <w:tcW w:w="851" w:type="dxa"/>
          </w:tcPr>
          <w:p w14:paraId="22648C07">
            <w:pPr>
              <w:widowControl/>
              <w:spacing w:line="240" w:lineRule="auto"/>
              <w:ind w:firstLine="0" w:firstLineChars="0"/>
              <w:jc w:val="center"/>
              <w:rPr>
                <w:rFonts w:hint="eastAsia" w:ascii="宋体" w:hAnsi="宋体" w:eastAsia="宋体" w:cs="宋体"/>
                <w:color w:val="000000"/>
                <w:kern w:val="0"/>
                <w:sz w:val="20"/>
                <w:szCs w:val="20"/>
                <w:highlight w:val="none"/>
              </w:rPr>
            </w:pPr>
          </w:p>
        </w:tc>
      </w:tr>
      <w:tr w14:paraId="71FC2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709" w:type="dxa"/>
            <w:vAlign w:val="center"/>
          </w:tcPr>
          <w:p w14:paraId="68C8B461">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eastAsia="zh-CN"/>
              </w:rPr>
              <w:t xml:space="preserve">  </w:t>
            </w:r>
            <w:r>
              <w:rPr>
                <w:rFonts w:hint="eastAsia" w:ascii="宋体" w:hAnsi="宋体" w:eastAsia="宋体" w:cs="宋体"/>
                <w:color w:val="000000"/>
                <w:kern w:val="0"/>
                <w:sz w:val="20"/>
                <w:szCs w:val="20"/>
                <w:highlight w:val="none"/>
              </w:rPr>
              <w:t>4</w:t>
            </w:r>
          </w:p>
        </w:tc>
        <w:tc>
          <w:tcPr>
            <w:tcW w:w="2126" w:type="dxa"/>
            <w:vAlign w:val="center"/>
          </w:tcPr>
          <w:p w14:paraId="76BCCB58">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24口POE接入交换机</w:t>
            </w:r>
          </w:p>
        </w:tc>
        <w:tc>
          <w:tcPr>
            <w:tcW w:w="2552" w:type="dxa"/>
            <w:shd w:val="clear" w:color="000000" w:fill="FFFFFF"/>
          </w:tcPr>
          <w:p w14:paraId="43D1F491">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kern w:val="0"/>
                <w:sz w:val="20"/>
                <w:szCs w:val="20"/>
                <w:highlight w:val="none"/>
              </w:rPr>
              <w:t>详见技术和服务要求</w:t>
            </w:r>
          </w:p>
        </w:tc>
        <w:tc>
          <w:tcPr>
            <w:tcW w:w="709" w:type="dxa"/>
            <w:vAlign w:val="center"/>
          </w:tcPr>
          <w:p w14:paraId="68A0336B">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708" w:type="dxa"/>
            <w:vAlign w:val="center"/>
          </w:tcPr>
          <w:p w14:paraId="64E17A6B">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台</w:t>
            </w:r>
          </w:p>
        </w:tc>
        <w:tc>
          <w:tcPr>
            <w:tcW w:w="851" w:type="dxa"/>
          </w:tcPr>
          <w:p w14:paraId="39223FF3">
            <w:pPr>
              <w:widowControl/>
              <w:spacing w:line="240" w:lineRule="auto"/>
              <w:ind w:firstLine="0" w:firstLineChars="0"/>
              <w:jc w:val="center"/>
              <w:rPr>
                <w:rFonts w:hint="eastAsia" w:ascii="宋体" w:hAnsi="宋体" w:eastAsia="宋体" w:cs="宋体"/>
                <w:color w:val="000000"/>
                <w:kern w:val="0"/>
                <w:sz w:val="20"/>
                <w:szCs w:val="20"/>
                <w:highlight w:val="none"/>
              </w:rPr>
            </w:pPr>
          </w:p>
        </w:tc>
      </w:tr>
      <w:tr w14:paraId="024D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709" w:type="dxa"/>
            <w:vAlign w:val="center"/>
          </w:tcPr>
          <w:p w14:paraId="15BF71A6">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eastAsia="zh-CN"/>
              </w:rPr>
              <w:t xml:space="preserve">  </w:t>
            </w:r>
            <w:r>
              <w:rPr>
                <w:rFonts w:hint="eastAsia" w:ascii="宋体" w:hAnsi="宋体" w:eastAsia="宋体" w:cs="宋体"/>
                <w:color w:val="000000"/>
                <w:kern w:val="0"/>
                <w:sz w:val="20"/>
                <w:szCs w:val="20"/>
                <w:highlight w:val="none"/>
              </w:rPr>
              <w:t>5</w:t>
            </w:r>
          </w:p>
        </w:tc>
        <w:tc>
          <w:tcPr>
            <w:tcW w:w="2126" w:type="dxa"/>
            <w:tcBorders>
              <w:bottom w:val="single" w:color="auto" w:sz="4" w:space="0"/>
            </w:tcBorders>
            <w:vAlign w:val="center"/>
          </w:tcPr>
          <w:p w14:paraId="6C77A294">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设备机柜（12U）</w:t>
            </w:r>
          </w:p>
        </w:tc>
        <w:tc>
          <w:tcPr>
            <w:tcW w:w="2552" w:type="dxa"/>
            <w:tcBorders>
              <w:bottom w:val="single" w:color="auto" w:sz="4" w:space="0"/>
            </w:tcBorders>
            <w:shd w:val="clear" w:color="000000" w:fill="FFFFFF"/>
          </w:tcPr>
          <w:p w14:paraId="44A4E739">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kern w:val="0"/>
                <w:sz w:val="20"/>
                <w:szCs w:val="20"/>
                <w:highlight w:val="none"/>
              </w:rPr>
              <w:t>详见技术和服务要求</w:t>
            </w:r>
          </w:p>
        </w:tc>
        <w:tc>
          <w:tcPr>
            <w:tcW w:w="709" w:type="dxa"/>
            <w:tcBorders>
              <w:bottom w:val="single" w:color="auto" w:sz="4" w:space="0"/>
            </w:tcBorders>
            <w:vAlign w:val="center"/>
          </w:tcPr>
          <w:p w14:paraId="05475F6F">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708" w:type="dxa"/>
            <w:tcBorders>
              <w:bottom w:val="single" w:color="auto" w:sz="4" w:space="0"/>
            </w:tcBorders>
            <w:vAlign w:val="center"/>
          </w:tcPr>
          <w:p w14:paraId="1E24E41E">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台</w:t>
            </w:r>
          </w:p>
        </w:tc>
        <w:tc>
          <w:tcPr>
            <w:tcW w:w="851" w:type="dxa"/>
            <w:tcBorders>
              <w:bottom w:val="single" w:color="auto" w:sz="4" w:space="0"/>
            </w:tcBorders>
          </w:tcPr>
          <w:p w14:paraId="08500E9F">
            <w:pPr>
              <w:widowControl/>
              <w:spacing w:line="240" w:lineRule="auto"/>
              <w:ind w:firstLine="0" w:firstLineChars="0"/>
              <w:jc w:val="center"/>
              <w:rPr>
                <w:rFonts w:hint="eastAsia" w:ascii="宋体" w:hAnsi="宋体" w:eastAsia="宋体" w:cs="宋体"/>
                <w:color w:val="000000"/>
                <w:kern w:val="0"/>
                <w:sz w:val="20"/>
                <w:szCs w:val="20"/>
                <w:highlight w:val="none"/>
              </w:rPr>
            </w:pPr>
          </w:p>
        </w:tc>
      </w:tr>
      <w:tr w14:paraId="3294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709" w:type="dxa"/>
            <w:vAlign w:val="center"/>
          </w:tcPr>
          <w:p w14:paraId="30A2D1C8">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eastAsia="zh-CN"/>
              </w:rPr>
              <w:t xml:space="preserve">  </w:t>
            </w:r>
            <w:r>
              <w:rPr>
                <w:rFonts w:hint="eastAsia" w:ascii="宋体" w:hAnsi="宋体" w:eastAsia="宋体" w:cs="宋体"/>
                <w:color w:val="000000"/>
                <w:kern w:val="0"/>
                <w:sz w:val="20"/>
                <w:szCs w:val="20"/>
                <w:highlight w:val="none"/>
              </w:rPr>
              <w:t>6</w:t>
            </w:r>
          </w:p>
        </w:tc>
        <w:tc>
          <w:tcPr>
            <w:tcW w:w="2126" w:type="dxa"/>
            <w:shd w:val="clear" w:color="000000" w:fill="FFFFFF" w:themeFill="background1"/>
            <w:vAlign w:val="center"/>
          </w:tcPr>
          <w:p w14:paraId="7156C4BD">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智慧融合控制平台</w:t>
            </w:r>
          </w:p>
        </w:tc>
        <w:tc>
          <w:tcPr>
            <w:tcW w:w="2552" w:type="dxa"/>
            <w:shd w:val="clear" w:color="000000" w:fill="FFFFFF" w:themeFill="background1"/>
          </w:tcPr>
          <w:p w14:paraId="28C673C2">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kern w:val="0"/>
                <w:sz w:val="20"/>
                <w:szCs w:val="20"/>
                <w:highlight w:val="none"/>
              </w:rPr>
              <w:t>详见技术和服务要求</w:t>
            </w:r>
          </w:p>
        </w:tc>
        <w:tc>
          <w:tcPr>
            <w:tcW w:w="709" w:type="dxa"/>
            <w:shd w:val="clear" w:color="000000" w:fill="FFFFFF" w:themeFill="background1"/>
            <w:vAlign w:val="center"/>
          </w:tcPr>
          <w:p w14:paraId="60539EEF">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708" w:type="dxa"/>
            <w:shd w:val="clear" w:color="000000" w:fill="FFFFFF" w:themeFill="background1"/>
            <w:vAlign w:val="center"/>
          </w:tcPr>
          <w:p w14:paraId="03051F47">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台</w:t>
            </w:r>
          </w:p>
        </w:tc>
        <w:tc>
          <w:tcPr>
            <w:tcW w:w="851" w:type="dxa"/>
            <w:shd w:val="clear" w:color="000000" w:fill="FFFFFF" w:themeFill="background1"/>
          </w:tcPr>
          <w:p w14:paraId="768DA235">
            <w:pPr>
              <w:widowControl/>
              <w:spacing w:line="240" w:lineRule="auto"/>
              <w:ind w:firstLine="0" w:firstLineChars="0"/>
              <w:jc w:val="center"/>
              <w:rPr>
                <w:rFonts w:hint="eastAsia" w:ascii="宋体" w:hAnsi="宋体" w:eastAsia="宋体" w:cs="宋体"/>
                <w:color w:val="000000"/>
                <w:kern w:val="0"/>
                <w:sz w:val="20"/>
                <w:szCs w:val="20"/>
                <w:highlight w:val="none"/>
              </w:rPr>
            </w:pPr>
          </w:p>
        </w:tc>
      </w:tr>
      <w:tr w14:paraId="6CB7C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709" w:type="dxa"/>
            <w:vAlign w:val="center"/>
          </w:tcPr>
          <w:p w14:paraId="0B64B49D">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eastAsia="zh-CN"/>
              </w:rPr>
              <w:t xml:space="preserve">  </w:t>
            </w:r>
            <w:r>
              <w:rPr>
                <w:rFonts w:hint="eastAsia" w:ascii="宋体" w:hAnsi="宋体" w:eastAsia="宋体" w:cs="宋体"/>
                <w:color w:val="000000"/>
                <w:kern w:val="0"/>
                <w:sz w:val="20"/>
                <w:szCs w:val="20"/>
                <w:highlight w:val="none"/>
              </w:rPr>
              <w:t>7</w:t>
            </w:r>
          </w:p>
        </w:tc>
        <w:tc>
          <w:tcPr>
            <w:tcW w:w="2126" w:type="dxa"/>
            <w:vAlign w:val="center"/>
          </w:tcPr>
          <w:p w14:paraId="31719778">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六类非屏蔽双绞线</w:t>
            </w:r>
          </w:p>
        </w:tc>
        <w:tc>
          <w:tcPr>
            <w:tcW w:w="2552" w:type="dxa"/>
            <w:shd w:val="clear" w:color="000000" w:fill="FFFFFF"/>
          </w:tcPr>
          <w:p w14:paraId="6DCCA56A">
            <w:pPr>
              <w:widowControl/>
              <w:spacing w:line="240" w:lineRule="auto"/>
              <w:ind w:firstLine="0" w:firstLineChars="0"/>
              <w:jc w:val="left"/>
              <w:rPr>
                <w:rFonts w:hint="eastAsia" w:ascii="宋体" w:hAnsi="宋体" w:eastAsia="宋体" w:cs="宋体"/>
                <w:kern w:val="0"/>
                <w:sz w:val="20"/>
                <w:szCs w:val="20"/>
                <w:highlight w:val="none"/>
              </w:rPr>
            </w:pPr>
            <w:r>
              <w:rPr>
                <w:rFonts w:hint="eastAsia" w:ascii="宋体" w:hAnsi="宋体" w:eastAsia="宋体" w:cs="宋体"/>
                <w:kern w:val="0"/>
                <w:sz w:val="20"/>
                <w:szCs w:val="20"/>
                <w:highlight w:val="none"/>
              </w:rPr>
              <w:t>详见技术和服务要求</w:t>
            </w:r>
          </w:p>
        </w:tc>
        <w:tc>
          <w:tcPr>
            <w:tcW w:w="709" w:type="dxa"/>
            <w:vAlign w:val="center"/>
          </w:tcPr>
          <w:p w14:paraId="5EF2D701">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w:t>
            </w:r>
          </w:p>
        </w:tc>
        <w:tc>
          <w:tcPr>
            <w:tcW w:w="708" w:type="dxa"/>
            <w:vAlign w:val="center"/>
          </w:tcPr>
          <w:p w14:paraId="252F392D">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箱</w:t>
            </w:r>
          </w:p>
        </w:tc>
        <w:tc>
          <w:tcPr>
            <w:tcW w:w="851" w:type="dxa"/>
          </w:tcPr>
          <w:p w14:paraId="1FB137D6">
            <w:pPr>
              <w:widowControl/>
              <w:spacing w:line="240" w:lineRule="auto"/>
              <w:ind w:firstLine="0" w:firstLineChars="0"/>
              <w:jc w:val="center"/>
              <w:rPr>
                <w:rFonts w:hint="eastAsia" w:ascii="宋体" w:hAnsi="宋体" w:eastAsia="宋体" w:cs="宋体"/>
                <w:color w:val="000000"/>
                <w:kern w:val="0"/>
                <w:sz w:val="20"/>
                <w:szCs w:val="20"/>
                <w:highlight w:val="none"/>
              </w:rPr>
            </w:pPr>
          </w:p>
        </w:tc>
      </w:tr>
      <w:tr w14:paraId="66E2E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709" w:type="dxa"/>
            <w:vAlign w:val="center"/>
          </w:tcPr>
          <w:p w14:paraId="2B8BF3C0">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eastAsia="zh-CN"/>
              </w:rPr>
              <w:t xml:space="preserve">  </w:t>
            </w:r>
            <w:r>
              <w:rPr>
                <w:rFonts w:hint="eastAsia" w:ascii="宋体" w:hAnsi="宋体" w:eastAsia="宋体" w:cs="宋体"/>
                <w:color w:val="000000"/>
                <w:kern w:val="0"/>
                <w:sz w:val="20"/>
                <w:szCs w:val="20"/>
                <w:highlight w:val="none"/>
              </w:rPr>
              <w:t>8</w:t>
            </w:r>
          </w:p>
        </w:tc>
        <w:tc>
          <w:tcPr>
            <w:tcW w:w="2126" w:type="dxa"/>
            <w:vAlign w:val="center"/>
          </w:tcPr>
          <w:p w14:paraId="3312DEB9">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监控主干电源线</w:t>
            </w:r>
          </w:p>
        </w:tc>
        <w:tc>
          <w:tcPr>
            <w:tcW w:w="2552" w:type="dxa"/>
            <w:shd w:val="clear" w:color="000000" w:fill="FFFFFF"/>
          </w:tcPr>
          <w:p w14:paraId="75F72E1B">
            <w:pPr>
              <w:widowControl/>
              <w:spacing w:line="240" w:lineRule="auto"/>
              <w:ind w:firstLine="0" w:firstLineChars="0"/>
              <w:jc w:val="left"/>
              <w:rPr>
                <w:rFonts w:hint="eastAsia" w:ascii="宋体" w:hAnsi="宋体" w:eastAsia="宋体" w:cs="宋体"/>
                <w:kern w:val="0"/>
                <w:sz w:val="20"/>
                <w:szCs w:val="20"/>
                <w:highlight w:val="none"/>
              </w:rPr>
            </w:pPr>
            <w:r>
              <w:rPr>
                <w:rFonts w:hint="eastAsia" w:ascii="宋体" w:hAnsi="宋体" w:eastAsia="宋体" w:cs="宋体"/>
                <w:kern w:val="0"/>
                <w:sz w:val="20"/>
                <w:szCs w:val="20"/>
                <w:highlight w:val="none"/>
              </w:rPr>
              <w:t>详见技术和服务要求</w:t>
            </w:r>
          </w:p>
        </w:tc>
        <w:tc>
          <w:tcPr>
            <w:tcW w:w="709" w:type="dxa"/>
            <w:vAlign w:val="center"/>
          </w:tcPr>
          <w:p w14:paraId="26B0A5EA">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708" w:type="dxa"/>
            <w:vAlign w:val="center"/>
          </w:tcPr>
          <w:p w14:paraId="61D9CF42">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捆</w:t>
            </w:r>
          </w:p>
        </w:tc>
        <w:tc>
          <w:tcPr>
            <w:tcW w:w="851" w:type="dxa"/>
          </w:tcPr>
          <w:p w14:paraId="7BF0FB3A">
            <w:pPr>
              <w:widowControl/>
              <w:spacing w:line="240" w:lineRule="auto"/>
              <w:ind w:firstLine="0" w:firstLineChars="0"/>
              <w:jc w:val="center"/>
              <w:rPr>
                <w:rFonts w:hint="eastAsia" w:ascii="宋体" w:hAnsi="宋体" w:eastAsia="宋体" w:cs="宋体"/>
                <w:color w:val="000000"/>
                <w:kern w:val="0"/>
                <w:sz w:val="20"/>
                <w:szCs w:val="20"/>
                <w:highlight w:val="none"/>
              </w:rPr>
            </w:pPr>
          </w:p>
        </w:tc>
      </w:tr>
      <w:tr w14:paraId="03E2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709" w:type="dxa"/>
            <w:vAlign w:val="center"/>
          </w:tcPr>
          <w:p w14:paraId="10BAA3BE">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eastAsia="zh-CN"/>
              </w:rPr>
              <w:t xml:space="preserve">  </w:t>
            </w:r>
            <w:r>
              <w:rPr>
                <w:rFonts w:hint="eastAsia" w:ascii="宋体" w:hAnsi="宋体" w:eastAsia="宋体" w:cs="宋体"/>
                <w:color w:val="000000"/>
                <w:kern w:val="0"/>
                <w:sz w:val="20"/>
                <w:szCs w:val="20"/>
                <w:highlight w:val="none"/>
              </w:rPr>
              <w:t>9</w:t>
            </w:r>
          </w:p>
        </w:tc>
        <w:tc>
          <w:tcPr>
            <w:tcW w:w="2126" w:type="dxa"/>
            <w:vAlign w:val="center"/>
          </w:tcPr>
          <w:p w14:paraId="63285A82">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PVC20管</w:t>
            </w:r>
          </w:p>
        </w:tc>
        <w:tc>
          <w:tcPr>
            <w:tcW w:w="2552" w:type="dxa"/>
            <w:shd w:val="clear" w:color="000000" w:fill="FFFFFF"/>
          </w:tcPr>
          <w:p w14:paraId="1E2506B1">
            <w:pPr>
              <w:widowControl/>
              <w:spacing w:line="240" w:lineRule="auto"/>
              <w:ind w:firstLine="0" w:firstLineChars="0"/>
              <w:jc w:val="left"/>
              <w:rPr>
                <w:rFonts w:hint="eastAsia" w:ascii="宋体" w:hAnsi="宋体" w:eastAsia="宋体" w:cs="宋体"/>
                <w:kern w:val="0"/>
                <w:sz w:val="20"/>
                <w:szCs w:val="20"/>
                <w:highlight w:val="none"/>
              </w:rPr>
            </w:pPr>
            <w:r>
              <w:rPr>
                <w:rFonts w:hint="eastAsia" w:ascii="宋体" w:hAnsi="宋体" w:eastAsia="宋体" w:cs="宋体"/>
                <w:kern w:val="0"/>
                <w:sz w:val="20"/>
                <w:szCs w:val="20"/>
                <w:highlight w:val="none"/>
              </w:rPr>
              <w:t>详见技术和服务要求</w:t>
            </w:r>
          </w:p>
        </w:tc>
        <w:tc>
          <w:tcPr>
            <w:tcW w:w="709" w:type="dxa"/>
            <w:vAlign w:val="center"/>
          </w:tcPr>
          <w:p w14:paraId="0D7E897F">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260</w:t>
            </w:r>
          </w:p>
        </w:tc>
        <w:tc>
          <w:tcPr>
            <w:tcW w:w="708" w:type="dxa"/>
            <w:vAlign w:val="center"/>
          </w:tcPr>
          <w:p w14:paraId="4A6D94C5">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米</w:t>
            </w:r>
          </w:p>
        </w:tc>
        <w:tc>
          <w:tcPr>
            <w:tcW w:w="851" w:type="dxa"/>
          </w:tcPr>
          <w:p w14:paraId="68F115EB">
            <w:pPr>
              <w:widowControl/>
              <w:spacing w:line="240" w:lineRule="auto"/>
              <w:ind w:firstLine="0" w:firstLineChars="0"/>
              <w:jc w:val="center"/>
              <w:rPr>
                <w:rFonts w:hint="eastAsia" w:ascii="宋体" w:hAnsi="宋体" w:eastAsia="宋体" w:cs="宋体"/>
                <w:color w:val="000000"/>
                <w:kern w:val="0"/>
                <w:sz w:val="20"/>
                <w:szCs w:val="20"/>
                <w:highlight w:val="none"/>
              </w:rPr>
            </w:pPr>
          </w:p>
        </w:tc>
      </w:tr>
    </w:tbl>
    <w:p w14:paraId="54437E66">
      <w:pPr>
        <w:pStyle w:val="47"/>
        <w:widowControl w:val="0"/>
        <w:jc w:val="both"/>
        <w:rPr>
          <w:rFonts w:hint="eastAsia"/>
          <w:sz w:val="24"/>
          <w:highlight w:val="none"/>
          <w:lang w:val="en-US" w:eastAsia="zh-CN"/>
        </w:rPr>
      </w:pPr>
    </w:p>
    <w:p w14:paraId="4C86DD49">
      <w:pPr>
        <w:pStyle w:val="47"/>
        <w:widowControl w:val="0"/>
        <w:jc w:val="both"/>
        <w:rPr>
          <w:rFonts w:hint="eastAsia"/>
          <w:sz w:val="24"/>
          <w:highlight w:val="none"/>
          <w:lang w:val="en-US" w:eastAsia="zh-CN"/>
        </w:rPr>
      </w:pPr>
      <w:r>
        <w:rPr>
          <w:rFonts w:hint="eastAsia"/>
          <w:sz w:val="24"/>
          <w:highlight w:val="none"/>
          <w:lang w:val="en-US" w:eastAsia="zh-CN"/>
        </w:rPr>
        <w:t>4、投标人报价应包括产品制造、运输、装卸、软硬件安装、调试、搬运及设备就位、培训、保修、售后服务、税金相关费用。</w:t>
      </w:r>
    </w:p>
    <w:p w14:paraId="19C5D975">
      <w:pPr>
        <w:pStyle w:val="47"/>
        <w:widowControl w:val="0"/>
        <w:jc w:val="both"/>
        <w:rPr>
          <w:rFonts w:hint="eastAsia"/>
          <w:sz w:val="24"/>
          <w:highlight w:val="none"/>
          <w:lang w:val="en-US" w:eastAsia="zh-CN"/>
        </w:rPr>
      </w:pPr>
      <w:r>
        <w:rPr>
          <w:rFonts w:hint="eastAsia"/>
          <w:sz w:val="24"/>
          <w:highlight w:val="none"/>
          <w:lang w:val="en-US" w:eastAsia="zh-CN"/>
        </w:rPr>
        <w:t>5、投标人务必仔细阅读招标文件中所规定的，其中包括技术规格在内的所有细则。</w:t>
      </w:r>
    </w:p>
    <w:p w14:paraId="676D52FF">
      <w:pPr>
        <w:pStyle w:val="47"/>
        <w:widowControl w:val="0"/>
        <w:numPr>
          <w:ilvl w:val="0"/>
          <w:numId w:val="0"/>
        </w:numPr>
        <w:snapToGrid w:val="0"/>
        <w:ind w:firstLine="480" w:firstLineChars="200"/>
        <w:jc w:val="left"/>
        <w:rPr>
          <w:rFonts w:hint="eastAsia"/>
          <w:sz w:val="24"/>
          <w:highlight w:val="none"/>
          <w:lang w:val="en-US" w:eastAsia="zh-CN"/>
        </w:rPr>
      </w:pPr>
    </w:p>
    <w:p w14:paraId="7518621C">
      <w:pPr>
        <w:pStyle w:val="47"/>
        <w:widowControl w:val="0"/>
        <w:numPr>
          <w:ilvl w:val="0"/>
          <w:numId w:val="0"/>
        </w:numPr>
        <w:jc w:val="both"/>
        <w:rPr>
          <w:rFonts w:hint="eastAsia" w:ascii="宋体" w:hAnsi="宋体" w:cs="宋体"/>
          <w:b/>
          <w:bCs/>
          <w:color w:val="000000"/>
          <w:sz w:val="28"/>
          <w:szCs w:val="28"/>
          <w:highlight w:val="none"/>
          <w:lang w:val="en-US" w:eastAsia="zh-CN"/>
        </w:rPr>
      </w:pPr>
      <w:r>
        <w:rPr>
          <w:rFonts w:hint="eastAsia" w:ascii="宋体" w:hAnsi="宋体" w:cs="宋体"/>
          <w:b/>
          <w:bCs/>
          <w:color w:val="000000"/>
          <w:sz w:val="28"/>
          <w:szCs w:val="28"/>
          <w:highlight w:val="none"/>
          <w:lang w:val="en-US" w:eastAsia="zh-CN"/>
        </w:rPr>
        <w:t>二、技术服务要求（以“★”标示的内容为不允许负偏离的实质性要求）</w:t>
      </w:r>
    </w:p>
    <w:tbl>
      <w:tblPr>
        <w:tblStyle w:val="22"/>
        <w:tblW w:w="0" w:type="auto"/>
        <w:tblInd w:w="0"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159"/>
        <w:gridCol w:w="5334"/>
        <w:gridCol w:w="529"/>
        <w:gridCol w:w="442"/>
        <w:gridCol w:w="442"/>
      </w:tblGrid>
      <w:tr w14:paraId="2DD04A8E">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92" w:hRule="atLeast"/>
        </w:trPr>
        <w:tc>
          <w:tcPr>
            <w:tcW w:w="0" w:type="auto"/>
            <w:vAlign w:val="center"/>
          </w:tcPr>
          <w:p w14:paraId="24819EE4">
            <w:pPr>
              <w:widowControl/>
              <w:spacing w:line="240" w:lineRule="auto"/>
              <w:ind w:firstLine="0" w:firstLineChars="0"/>
              <w:jc w:val="center"/>
              <w:rPr>
                <w:rFonts w:hint="eastAsia" w:ascii="宋体" w:hAnsi="宋体" w:eastAsia="宋体" w:cs="宋体"/>
                <w:b/>
                <w:bCs/>
                <w:color w:val="000000"/>
                <w:kern w:val="0"/>
                <w:sz w:val="20"/>
                <w:szCs w:val="20"/>
                <w:highlight w:val="none"/>
              </w:rPr>
            </w:pPr>
            <w:r>
              <w:rPr>
                <w:rFonts w:hint="eastAsia" w:ascii="宋体" w:hAnsi="宋体" w:eastAsia="宋体" w:cs="宋体"/>
                <w:b/>
                <w:bCs/>
                <w:color w:val="000000"/>
                <w:kern w:val="0"/>
                <w:sz w:val="20"/>
                <w:szCs w:val="20"/>
                <w:highlight w:val="none"/>
              </w:rPr>
              <w:t>序号</w:t>
            </w:r>
          </w:p>
        </w:tc>
        <w:tc>
          <w:tcPr>
            <w:tcW w:w="0" w:type="auto"/>
            <w:vAlign w:val="center"/>
          </w:tcPr>
          <w:p w14:paraId="1BB949B4">
            <w:pPr>
              <w:widowControl/>
              <w:spacing w:line="240" w:lineRule="auto"/>
              <w:ind w:firstLine="0" w:firstLineChars="0"/>
              <w:jc w:val="center"/>
              <w:rPr>
                <w:rFonts w:hint="eastAsia" w:ascii="宋体" w:hAnsi="宋体" w:eastAsia="宋体" w:cs="宋体"/>
                <w:b/>
                <w:bCs/>
                <w:color w:val="000000"/>
                <w:kern w:val="0"/>
                <w:sz w:val="20"/>
                <w:szCs w:val="20"/>
                <w:highlight w:val="none"/>
              </w:rPr>
            </w:pPr>
            <w:r>
              <w:rPr>
                <w:rFonts w:hint="eastAsia" w:ascii="宋体" w:hAnsi="宋体" w:eastAsia="宋体" w:cs="宋体"/>
                <w:b/>
                <w:bCs/>
                <w:color w:val="000000"/>
                <w:kern w:val="0"/>
                <w:sz w:val="20"/>
                <w:szCs w:val="20"/>
                <w:highlight w:val="none"/>
              </w:rPr>
              <w:t>项目名称</w:t>
            </w:r>
          </w:p>
        </w:tc>
        <w:tc>
          <w:tcPr>
            <w:tcW w:w="0" w:type="auto"/>
            <w:vAlign w:val="center"/>
          </w:tcPr>
          <w:p w14:paraId="2E4D2CB3">
            <w:pPr>
              <w:widowControl/>
              <w:spacing w:line="240" w:lineRule="auto"/>
              <w:ind w:firstLine="0" w:firstLineChars="0"/>
              <w:jc w:val="center"/>
              <w:rPr>
                <w:rFonts w:hint="eastAsia" w:ascii="宋体" w:hAnsi="宋体" w:eastAsia="宋体" w:cs="宋体"/>
                <w:b/>
                <w:bCs/>
                <w:color w:val="000000"/>
                <w:kern w:val="0"/>
                <w:sz w:val="20"/>
                <w:szCs w:val="20"/>
                <w:highlight w:val="none"/>
              </w:rPr>
            </w:pPr>
            <w:r>
              <w:rPr>
                <w:rFonts w:hint="eastAsia" w:ascii="宋体" w:hAnsi="宋体" w:eastAsia="宋体" w:cs="宋体"/>
                <w:b/>
                <w:bCs/>
                <w:color w:val="000000"/>
                <w:kern w:val="0"/>
                <w:sz w:val="20"/>
                <w:szCs w:val="20"/>
                <w:highlight w:val="none"/>
              </w:rPr>
              <w:t>参数规格</w:t>
            </w:r>
          </w:p>
        </w:tc>
        <w:tc>
          <w:tcPr>
            <w:tcW w:w="0" w:type="auto"/>
            <w:vAlign w:val="center"/>
          </w:tcPr>
          <w:p w14:paraId="61B88C3E">
            <w:pPr>
              <w:widowControl/>
              <w:spacing w:line="240" w:lineRule="auto"/>
              <w:ind w:firstLine="0" w:firstLineChars="0"/>
              <w:jc w:val="center"/>
              <w:rPr>
                <w:rFonts w:hint="eastAsia" w:ascii="宋体" w:hAnsi="宋体" w:eastAsia="宋体" w:cs="宋体"/>
                <w:b/>
                <w:bCs/>
                <w:color w:val="000000"/>
                <w:kern w:val="0"/>
                <w:sz w:val="20"/>
                <w:szCs w:val="20"/>
                <w:highlight w:val="none"/>
              </w:rPr>
            </w:pPr>
            <w:r>
              <w:rPr>
                <w:rFonts w:hint="eastAsia" w:ascii="宋体" w:hAnsi="宋体" w:eastAsia="宋体" w:cs="宋体"/>
                <w:b/>
                <w:bCs/>
                <w:color w:val="000000"/>
                <w:kern w:val="0"/>
                <w:sz w:val="20"/>
                <w:szCs w:val="20"/>
                <w:highlight w:val="none"/>
              </w:rPr>
              <w:t>数量</w:t>
            </w:r>
          </w:p>
        </w:tc>
        <w:tc>
          <w:tcPr>
            <w:tcW w:w="0" w:type="auto"/>
            <w:vAlign w:val="center"/>
          </w:tcPr>
          <w:p w14:paraId="7FE90FB8">
            <w:pPr>
              <w:widowControl/>
              <w:spacing w:line="240" w:lineRule="auto"/>
              <w:ind w:firstLine="0" w:firstLineChars="0"/>
              <w:jc w:val="center"/>
              <w:rPr>
                <w:rFonts w:hint="eastAsia" w:ascii="宋体" w:hAnsi="宋体" w:eastAsia="宋体" w:cs="宋体"/>
                <w:b/>
                <w:bCs/>
                <w:color w:val="000000"/>
                <w:kern w:val="0"/>
                <w:sz w:val="20"/>
                <w:szCs w:val="20"/>
                <w:highlight w:val="none"/>
              </w:rPr>
            </w:pPr>
            <w:r>
              <w:rPr>
                <w:rFonts w:hint="eastAsia" w:ascii="宋体" w:hAnsi="宋体" w:eastAsia="宋体" w:cs="宋体"/>
                <w:b/>
                <w:bCs/>
                <w:color w:val="000000"/>
                <w:kern w:val="0"/>
                <w:sz w:val="20"/>
                <w:szCs w:val="20"/>
                <w:highlight w:val="none"/>
              </w:rPr>
              <w:t>单位</w:t>
            </w:r>
          </w:p>
        </w:tc>
        <w:tc>
          <w:tcPr>
            <w:tcW w:w="0" w:type="auto"/>
            <w:vAlign w:val="center"/>
          </w:tcPr>
          <w:p w14:paraId="2B0D06F2">
            <w:pPr>
              <w:widowControl/>
              <w:spacing w:line="240" w:lineRule="auto"/>
              <w:ind w:firstLine="0" w:firstLineChars="0"/>
              <w:jc w:val="center"/>
              <w:rPr>
                <w:rFonts w:hint="eastAsia" w:ascii="宋体" w:hAnsi="宋体" w:eastAsia="宋体" w:cs="宋体"/>
                <w:b/>
                <w:bCs/>
                <w:color w:val="000000"/>
                <w:kern w:val="0"/>
                <w:sz w:val="20"/>
                <w:szCs w:val="20"/>
                <w:highlight w:val="none"/>
              </w:rPr>
            </w:pPr>
            <w:r>
              <w:rPr>
                <w:rFonts w:hint="eastAsia" w:ascii="宋体" w:hAnsi="宋体" w:eastAsia="宋体" w:cs="宋体"/>
                <w:b/>
                <w:bCs/>
                <w:color w:val="000000"/>
                <w:kern w:val="0"/>
                <w:sz w:val="20"/>
                <w:szCs w:val="20"/>
                <w:highlight w:val="none"/>
              </w:rPr>
              <w:t>备注</w:t>
            </w:r>
          </w:p>
        </w:tc>
      </w:tr>
      <w:tr w14:paraId="3DBB7B20">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3" w:hRule="atLeast"/>
        </w:trPr>
        <w:tc>
          <w:tcPr>
            <w:tcW w:w="0" w:type="auto"/>
            <w:shd w:val="clear" w:color="000000" w:fill="D9D9D9"/>
            <w:vAlign w:val="center"/>
          </w:tcPr>
          <w:p w14:paraId="2AC8FEDB">
            <w:pPr>
              <w:widowControl/>
              <w:spacing w:line="240" w:lineRule="auto"/>
              <w:ind w:firstLine="0" w:firstLineChars="0"/>
              <w:jc w:val="center"/>
              <w:rPr>
                <w:b/>
                <w:bCs/>
                <w:color w:val="000000"/>
                <w:sz w:val="20"/>
                <w:szCs w:val="20"/>
                <w:highlight w:val="none"/>
              </w:rPr>
            </w:pPr>
            <w:r>
              <w:rPr>
                <w:rFonts w:hint="eastAsia"/>
                <w:b/>
                <w:bCs/>
                <w:color w:val="000000"/>
                <w:sz w:val="20"/>
                <w:szCs w:val="20"/>
                <w:highlight w:val="none"/>
              </w:rPr>
              <w:t>一</w:t>
            </w:r>
          </w:p>
        </w:tc>
        <w:tc>
          <w:tcPr>
            <w:tcW w:w="0" w:type="auto"/>
            <w:gridSpan w:val="5"/>
            <w:shd w:val="clear" w:color="000000" w:fill="D9D9D9"/>
            <w:vAlign w:val="center"/>
          </w:tcPr>
          <w:p w14:paraId="7BE5E628">
            <w:pPr>
              <w:widowControl/>
              <w:spacing w:line="240" w:lineRule="auto"/>
              <w:ind w:firstLine="0" w:firstLineChars="0"/>
              <w:jc w:val="left"/>
              <w:rPr>
                <w:b/>
                <w:bCs/>
                <w:color w:val="000000"/>
                <w:sz w:val="20"/>
                <w:szCs w:val="20"/>
                <w:highlight w:val="none"/>
              </w:rPr>
            </w:pPr>
            <w:r>
              <w:rPr>
                <w:rFonts w:hint="eastAsia"/>
                <w:b/>
                <w:bCs/>
                <w:color w:val="000000"/>
                <w:sz w:val="20"/>
                <w:szCs w:val="20"/>
                <w:highlight w:val="none"/>
                <w:lang w:val="en-US" w:eastAsia="zh-CN"/>
              </w:rPr>
              <w:t>病理科</w:t>
            </w:r>
            <w:r>
              <w:rPr>
                <w:rFonts w:hint="eastAsia"/>
                <w:b/>
                <w:bCs/>
                <w:color w:val="000000"/>
                <w:sz w:val="20"/>
                <w:szCs w:val="20"/>
                <w:highlight w:val="none"/>
              </w:rPr>
              <w:t>（三/四层监控）</w:t>
            </w:r>
          </w:p>
        </w:tc>
      </w:tr>
      <w:tr w14:paraId="5D5FDFC5">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91" w:hRule="atLeast"/>
        </w:trPr>
        <w:tc>
          <w:tcPr>
            <w:tcW w:w="0" w:type="auto"/>
            <w:vAlign w:val="center"/>
          </w:tcPr>
          <w:p w14:paraId="5C6F585C">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1.1</w:t>
            </w:r>
          </w:p>
        </w:tc>
        <w:tc>
          <w:tcPr>
            <w:tcW w:w="0" w:type="auto"/>
            <w:vAlign w:val="center"/>
          </w:tcPr>
          <w:p w14:paraId="369DA42E">
            <w:pPr>
              <w:widowControl/>
              <w:spacing w:line="240" w:lineRule="auto"/>
              <w:ind w:firstLine="0" w:firstLineChars="0"/>
              <w:jc w:val="left"/>
              <w:rPr>
                <w:rFonts w:hint="eastAsia" w:ascii="宋体" w:hAnsi="宋体" w:eastAsia="宋体" w:cs="宋体"/>
                <w:color w:val="000000"/>
                <w:kern w:val="0"/>
                <w:sz w:val="20"/>
                <w:szCs w:val="20"/>
                <w:highlight w:val="none"/>
              </w:rPr>
            </w:pPr>
            <w:r>
              <w:rPr>
                <w:rStyle w:val="25"/>
                <w:rFonts w:cs="宋体"/>
                <w:b w:val="0"/>
                <w:highlight w:val="none"/>
                <w:shd w:val="clear" w:color="auto" w:fill="FFFFFF"/>
              </w:rPr>
              <w:t>◆</w:t>
            </w:r>
            <w:r>
              <w:rPr>
                <w:rFonts w:hint="eastAsia" w:ascii="宋体" w:hAnsi="宋体" w:eastAsia="宋体" w:cs="宋体"/>
                <w:color w:val="000000"/>
                <w:kern w:val="0"/>
                <w:sz w:val="20"/>
                <w:szCs w:val="20"/>
                <w:highlight w:val="none"/>
              </w:rPr>
              <w:t>400W室内半球（核心产品）</w:t>
            </w:r>
          </w:p>
        </w:tc>
        <w:tc>
          <w:tcPr>
            <w:tcW w:w="0" w:type="auto"/>
          </w:tcPr>
          <w:p w14:paraId="58B03B9F">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项号1. 靶面尺寸≥1/3，像素≥400万，分辨力≥1500TVL，内置≥1个麦克风； </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 xml:space="preserve">项号2. 具有≥1个RJ45网络接口，具有≥1个音频输入接口，≥1个音频输出接口；  </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 xml:space="preserve">项号3. 具有≥1个报警输入接口，≥1个报警输出接口，。  </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 xml:space="preserve">项号4. 支持poe供电，能在额定电源电压±30%范围内正常工作，支持防反接保护，支持SD卡热插拔，SD卡支持≥256GB；  </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 xml:space="preserve">项号5. 支持红外补光，≥IP67防尘防水，≥IK10防暴等级。  </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 xml:space="preserve">项号6. 最低照度彩色：≤0.002 lx，黑白:≤0.0002 lx，最大亮度鉴别等级（灰度等级）≥11级。  </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项号7. 具备区域入侵、越界入侵、进入区域、离开区域、人员聚集、快速移动、徘徊、物品移除、物品遗留、停车智能分析功能.</w:t>
            </w:r>
          </w:p>
        </w:tc>
        <w:tc>
          <w:tcPr>
            <w:tcW w:w="0" w:type="auto"/>
            <w:vAlign w:val="center"/>
          </w:tcPr>
          <w:p w14:paraId="7BEC2477">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20</w:t>
            </w:r>
          </w:p>
        </w:tc>
        <w:tc>
          <w:tcPr>
            <w:tcW w:w="0" w:type="auto"/>
            <w:vAlign w:val="center"/>
          </w:tcPr>
          <w:p w14:paraId="2D3FE40A">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台</w:t>
            </w:r>
          </w:p>
        </w:tc>
        <w:tc>
          <w:tcPr>
            <w:tcW w:w="0" w:type="auto"/>
            <w:vAlign w:val="center"/>
          </w:tcPr>
          <w:p w14:paraId="071C2263">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w:t>
            </w:r>
          </w:p>
        </w:tc>
      </w:tr>
      <w:tr w14:paraId="0D7D9B72">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91" w:hRule="atLeast"/>
        </w:trPr>
        <w:tc>
          <w:tcPr>
            <w:tcW w:w="0" w:type="auto"/>
            <w:vAlign w:val="center"/>
          </w:tcPr>
          <w:p w14:paraId="42185E0F">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1.2</w:t>
            </w:r>
          </w:p>
        </w:tc>
        <w:tc>
          <w:tcPr>
            <w:tcW w:w="0" w:type="auto"/>
            <w:vAlign w:val="center"/>
          </w:tcPr>
          <w:p w14:paraId="3BDD48F4">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拾音器</w:t>
            </w:r>
          </w:p>
        </w:tc>
        <w:tc>
          <w:tcPr>
            <w:tcW w:w="0" w:type="auto"/>
          </w:tcPr>
          <w:p w14:paraId="33449ADF">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项号8. 拾音器音频输出不应存在与拾音器环境不相符的音量变化、声音断续等现象，且能够清晰地探测到现场的语音和凿、锯、砸等动作发出的声音。</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项号9. 拾音器典型频率响应曲线覆盖100Hz~12000Hz频率范围，频率范围内典型频率响应相对于1kHz典型频率响应的偏离应≤5dB。</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项号10. 对于灵敏度可调的拾音器，单只拾音器自由场灵敏度级调节范围应≥30dB。</w:t>
            </w:r>
            <w:r>
              <w:rPr>
                <w:rFonts w:hint="eastAsia" w:ascii="宋体" w:hAnsi="宋体" w:eastAsia="宋体" w:cs="宋体"/>
                <w:color w:val="000000"/>
                <w:kern w:val="0"/>
                <w:sz w:val="20"/>
                <w:szCs w:val="20"/>
                <w:highlight w:val="none"/>
              </w:rPr>
              <w:br w:type="textWrapping"/>
            </w:r>
          </w:p>
        </w:tc>
        <w:tc>
          <w:tcPr>
            <w:tcW w:w="0" w:type="auto"/>
            <w:vAlign w:val="center"/>
          </w:tcPr>
          <w:p w14:paraId="69F63BDE">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0" w:type="auto"/>
            <w:vAlign w:val="center"/>
          </w:tcPr>
          <w:p w14:paraId="2663B234">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个</w:t>
            </w:r>
          </w:p>
        </w:tc>
        <w:tc>
          <w:tcPr>
            <w:tcW w:w="0" w:type="auto"/>
            <w:vAlign w:val="center"/>
          </w:tcPr>
          <w:p w14:paraId="59B846B6">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w:t>
            </w:r>
          </w:p>
        </w:tc>
      </w:tr>
      <w:tr w14:paraId="20D7848F">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592" w:hRule="atLeast"/>
        </w:trPr>
        <w:tc>
          <w:tcPr>
            <w:tcW w:w="0" w:type="auto"/>
            <w:vAlign w:val="center"/>
          </w:tcPr>
          <w:p w14:paraId="26C12A66">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1.3</w:t>
            </w:r>
          </w:p>
        </w:tc>
        <w:tc>
          <w:tcPr>
            <w:tcW w:w="0" w:type="auto"/>
            <w:vAlign w:val="center"/>
          </w:tcPr>
          <w:p w14:paraId="5B84578E">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监控存储节点</w:t>
            </w:r>
          </w:p>
        </w:tc>
        <w:tc>
          <w:tcPr>
            <w:tcW w:w="0" w:type="auto"/>
          </w:tcPr>
          <w:p w14:paraId="7F1FCDE1">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项号11. 具有≥2个HDMI接口、≥2个VGA接口、≥2个RJ45千兆网络接口、≥2个USB2.0接口、≥2个USB3.0接口、≥1个RS232接口、≥1个RS485接口（可接入RS485键盘）；具有≥1路音频输入接口、≥2路音频输出接口，≥16路报警输入接口、≥4路报警输出接口；可内置≥16个SATA接口硬盘 </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 xml:space="preserve">项号12. 支持接入带宽≥384Mbps，存储带宽≥384Mbps，转发带宽≥256Mbps </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项号13. HDMI1和HDMI2支持同时4K（4096×2160）异源输出或最大单路≥8K（7680×4320）和≥1080P（1920×1080）异源输出。</w:t>
            </w:r>
            <w:r>
              <w:rPr>
                <w:rFonts w:hint="eastAsia" w:ascii="宋体" w:hAnsi="宋体" w:eastAsia="宋体" w:cs="宋体"/>
                <w:b/>
                <w:bCs/>
                <w:color w:val="000000"/>
                <w:kern w:val="0"/>
                <w:sz w:val="20"/>
                <w:szCs w:val="20"/>
                <w:highlight w:val="none"/>
              </w:rPr>
              <w:t>（前述技术参数均须在投标文件中提供第三方检测机构出具的具有CMA或CNAS标识的有效检测报告复印件进行佐证)</w:t>
            </w:r>
            <w:r>
              <w:rPr>
                <w:rFonts w:hint="eastAsia" w:ascii="宋体" w:hAnsi="宋体" w:eastAsia="宋体" w:cs="宋体"/>
                <w:color w:val="000000"/>
                <w:kern w:val="0"/>
                <w:sz w:val="20"/>
                <w:szCs w:val="20"/>
                <w:highlight w:val="none"/>
              </w:rPr>
              <w:br w:type="textWrapping"/>
            </w:r>
            <w:r>
              <w:rPr>
                <w:rFonts w:ascii="宋体" w:hAnsi="宋体" w:cs="宋体"/>
                <w:color w:val="000000" w:themeColor="text1"/>
                <w:kern w:val="0"/>
                <w:highlight w:val="none"/>
                <w14:textFill>
                  <w14:solidFill>
                    <w14:schemeClr w14:val="tx1"/>
                  </w14:solidFill>
                </w14:textFill>
              </w:rPr>
              <w:t>▲</w:t>
            </w:r>
            <w:r>
              <w:rPr>
                <w:rFonts w:hint="eastAsia" w:ascii="宋体" w:hAnsi="宋体" w:eastAsia="宋体" w:cs="宋体"/>
                <w:color w:val="000000"/>
                <w:kern w:val="0"/>
                <w:sz w:val="20"/>
                <w:szCs w:val="20"/>
                <w:highlight w:val="none"/>
              </w:rPr>
              <w:t>项号14. 设备支持分组管理，支持将接入的视频通道按分组管理；支持以分组方式进行预览、回放和检索；自定义视图支持以分组方式拖动通道进行配置。</w:t>
            </w:r>
            <w:r>
              <w:rPr>
                <w:rFonts w:hint="eastAsia" w:ascii="宋体" w:hAnsi="宋体" w:eastAsia="宋体" w:cs="宋体"/>
                <w:b/>
                <w:bCs/>
                <w:color w:val="000000"/>
                <w:kern w:val="0"/>
                <w:sz w:val="20"/>
                <w:szCs w:val="20"/>
                <w:highlight w:val="none"/>
              </w:rPr>
              <w:t>（前述技术参数均须在投标文件中 提供第三方检测机构出具的具有CMA或CNAS标识的有效检测报告复印件进行佐证)</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 xml:space="preserve">项号15. 切片回放功能，支持按月、日、小时维度进行切片展示，按月支持≥30个切片，按日支持≥24个切片，按时支持≥60个切片。 </w:t>
            </w:r>
            <w:r>
              <w:rPr>
                <w:rFonts w:hint="eastAsia" w:ascii="宋体" w:hAnsi="宋体" w:eastAsia="宋体" w:cs="宋体"/>
                <w:color w:val="000000"/>
                <w:kern w:val="0"/>
                <w:sz w:val="20"/>
                <w:szCs w:val="20"/>
                <w:highlight w:val="none"/>
              </w:rPr>
              <w:br w:type="textWrapping"/>
            </w:r>
            <w:r>
              <w:rPr>
                <w:rFonts w:ascii="宋体" w:hAnsi="宋体" w:cs="宋体"/>
                <w:color w:val="000000" w:themeColor="text1"/>
                <w:kern w:val="0"/>
                <w:highlight w:val="none"/>
                <w14:textFill>
                  <w14:solidFill>
                    <w14:schemeClr w14:val="tx1"/>
                  </w14:solidFill>
                </w14:textFill>
              </w:rPr>
              <w:t>▲</w:t>
            </w:r>
            <w:r>
              <w:rPr>
                <w:rFonts w:hint="eastAsia" w:ascii="宋体" w:hAnsi="宋体" w:eastAsia="宋体" w:cs="宋体"/>
                <w:color w:val="000000"/>
                <w:kern w:val="0"/>
                <w:sz w:val="20"/>
                <w:szCs w:val="20"/>
                <w:highlight w:val="none"/>
              </w:rPr>
              <w:t>项号16. 支持预览时对实时视频流进行手动打标签，通过标签检索可以检索到相关的录像片段。</w:t>
            </w:r>
            <w:r>
              <w:rPr>
                <w:rFonts w:hint="eastAsia" w:ascii="宋体" w:hAnsi="宋体" w:eastAsia="宋体" w:cs="宋体"/>
                <w:b/>
                <w:bCs/>
                <w:color w:val="000000"/>
                <w:kern w:val="0"/>
                <w:sz w:val="20"/>
                <w:szCs w:val="20"/>
                <w:highlight w:val="none"/>
              </w:rPr>
              <w:t>（前述技术参数均须在投标文件中提供第三方检测机构出具的具有CMA或CNAS标识的有效检测报告复印件进行佐证)</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 xml:space="preserve">项号17. 支持前端IPC证书二次校验机制，未通过证书校验的IPC不允许添加到NVR </w:t>
            </w:r>
          </w:p>
        </w:tc>
        <w:tc>
          <w:tcPr>
            <w:tcW w:w="0" w:type="auto"/>
            <w:vAlign w:val="center"/>
          </w:tcPr>
          <w:p w14:paraId="022A3524">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0" w:type="auto"/>
            <w:vAlign w:val="center"/>
          </w:tcPr>
          <w:p w14:paraId="2845580F">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台</w:t>
            </w:r>
          </w:p>
        </w:tc>
        <w:tc>
          <w:tcPr>
            <w:tcW w:w="0" w:type="auto"/>
            <w:vAlign w:val="center"/>
          </w:tcPr>
          <w:p w14:paraId="074FF0DA">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w:t>
            </w:r>
          </w:p>
        </w:tc>
      </w:tr>
      <w:tr w14:paraId="5D64A4C4">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592" w:hRule="atLeast"/>
        </w:trPr>
        <w:tc>
          <w:tcPr>
            <w:tcW w:w="0" w:type="auto"/>
            <w:vAlign w:val="center"/>
          </w:tcPr>
          <w:p w14:paraId="07051F9E">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1.4</w:t>
            </w:r>
          </w:p>
        </w:tc>
        <w:tc>
          <w:tcPr>
            <w:tcW w:w="0" w:type="auto"/>
            <w:vAlign w:val="center"/>
          </w:tcPr>
          <w:p w14:paraId="6A9AB6AE">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监控硬盘</w:t>
            </w:r>
          </w:p>
        </w:tc>
        <w:tc>
          <w:tcPr>
            <w:tcW w:w="0" w:type="auto"/>
          </w:tcPr>
          <w:p w14:paraId="4C5F1996">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项号18.≥12TB容量，3.5英寸，SATA接口，≥7200RPM</w:t>
            </w:r>
          </w:p>
        </w:tc>
        <w:tc>
          <w:tcPr>
            <w:tcW w:w="0" w:type="auto"/>
            <w:vAlign w:val="center"/>
          </w:tcPr>
          <w:p w14:paraId="77656A4D">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14</w:t>
            </w:r>
          </w:p>
        </w:tc>
        <w:tc>
          <w:tcPr>
            <w:tcW w:w="0" w:type="auto"/>
            <w:vAlign w:val="center"/>
          </w:tcPr>
          <w:p w14:paraId="08AC11E0">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块</w:t>
            </w:r>
          </w:p>
        </w:tc>
        <w:tc>
          <w:tcPr>
            <w:tcW w:w="0" w:type="auto"/>
            <w:vAlign w:val="center"/>
          </w:tcPr>
          <w:p w14:paraId="4C366244">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w:t>
            </w:r>
          </w:p>
        </w:tc>
      </w:tr>
      <w:tr w14:paraId="58346C5C">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592" w:hRule="atLeast"/>
        </w:trPr>
        <w:tc>
          <w:tcPr>
            <w:tcW w:w="0" w:type="auto"/>
            <w:vAlign w:val="center"/>
          </w:tcPr>
          <w:p w14:paraId="7911D9C7">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1.5</w:t>
            </w:r>
          </w:p>
        </w:tc>
        <w:tc>
          <w:tcPr>
            <w:tcW w:w="0" w:type="auto"/>
            <w:vAlign w:val="center"/>
          </w:tcPr>
          <w:p w14:paraId="3CDC9AAF">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视频通道数扩容授权</w:t>
            </w:r>
          </w:p>
        </w:tc>
        <w:tc>
          <w:tcPr>
            <w:tcW w:w="0" w:type="auto"/>
            <w:vAlign w:val="center"/>
          </w:tcPr>
          <w:p w14:paraId="7626FAEC">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项号19.视频监控系统扩容；</w:t>
            </w:r>
          </w:p>
        </w:tc>
        <w:tc>
          <w:tcPr>
            <w:tcW w:w="0" w:type="auto"/>
            <w:vAlign w:val="center"/>
          </w:tcPr>
          <w:p w14:paraId="50751749">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50</w:t>
            </w:r>
          </w:p>
        </w:tc>
        <w:tc>
          <w:tcPr>
            <w:tcW w:w="0" w:type="auto"/>
            <w:vAlign w:val="center"/>
          </w:tcPr>
          <w:p w14:paraId="370B268F">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路</w:t>
            </w:r>
          </w:p>
        </w:tc>
        <w:tc>
          <w:tcPr>
            <w:tcW w:w="0" w:type="auto"/>
            <w:vAlign w:val="center"/>
          </w:tcPr>
          <w:p w14:paraId="41D30A06">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w:t>
            </w:r>
          </w:p>
        </w:tc>
      </w:tr>
      <w:tr w14:paraId="105C21C7">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91" w:hRule="atLeast"/>
        </w:trPr>
        <w:tc>
          <w:tcPr>
            <w:tcW w:w="0" w:type="auto"/>
            <w:vAlign w:val="center"/>
          </w:tcPr>
          <w:p w14:paraId="6E2DD9A4">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1.6</w:t>
            </w:r>
          </w:p>
        </w:tc>
        <w:tc>
          <w:tcPr>
            <w:tcW w:w="0" w:type="auto"/>
            <w:vAlign w:val="center"/>
          </w:tcPr>
          <w:p w14:paraId="700348B5">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24口POE接入交换机</w:t>
            </w:r>
          </w:p>
        </w:tc>
        <w:tc>
          <w:tcPr>
            <w:tcW w:w="0" w:type="auto"/>
          </w:tcPr>
          <w:p w14:paraId="490949C1">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项号20.交换容量≥598Gbps，包转发率≥126Mpps；固化10/100/1000M以太网端口≥24个，SFP非复用口≥4个。</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项号21.要求所投设备MAC地址≥16K。</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项号22.支持POE和POE+远程供电，整机POE功率输出≥370W，提供所投产品官网截图、实物照片。</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项号23.支持IPv4和IPv6的静态路由、RIP/RIPng、OSPFv2/OSPFv3等三层路由协议。支持1对1、1对多、多对1和基于流的本地、远程镜像；且支持RSPAN和ERSPAN。</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项号24.支持CPU保护功能，能够针对发往CPU处理的各种报文进行流区分和优先级队列分级处理，保护交换机在各种环境下稳定工作。</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项号25</w:t>
            </w:r>
            <w:r>
              <w:rPr>
                <w:rFonts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rPr>
              <w:t>支持专门基础网络保护机制，能够限制用户向网络中发送数据包的速率，对有攻击行为的用户进行隔离，保证设备和整网的安全稳定运行。</w:t>
            </w:r>
          </w:p>
        </w:tc>
        <w:tc>
          <w:tcPr>
            <w:tcW w:w="0" w:type="auto"/>
            <w:vAlign w:val="center"/>
          </w:tcPr>
          <w:p w14:paraId="045F50A7">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w:t>
            </w:r>
          </w:p>
        </w:tc>
        <w:tc>
          <w:tcPr>
            <w:tcW w:w="0" w:type="auto"/>
            <w:vAlign w:val="center"/>
          </w:tcPr>
          <w:p w14:paraId="57A5BA7C">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台</w:t>
            </w:r>
          </w:p>
        </w:tc>
        <w:tc>
          <w:tcPr>
            <w:tcW w:w="0" w:type="auto"/>
            <w:vAlign w:val="center"/>
          </w:tcPr>
          <w:p w14:paraId="0BEFFA25">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w:t>
            </w:r>
          </w:p>
        </w:tc>
      </w:tr>
      <w:tr w14:paraId="2BFFF154">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91" w:hRule="atLeast"/>
        </w:trPr>
        <w:tc>
          <w:tcPr>
            <w:tcW w:w="0" w:type="auto"/>
            <w:vAlign w:val="center"/>
          </w:tcPr>
          <w:p w14:paraId="39889BF2">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1.7</w:t>
            </w:r>
          </w:p>
        </w:tc>
        <w:tc>
          <w:tcPr>
            <w:tcW w:w="0" w:type="auto"/>
            <w:vAlign w:val="center"/>
          </w:tcPr>
          <w:p w14:paraId="48D365C9">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6U机柜</w:t>
            </w:r>
          </w:p>
        </w:tc>
        <w:tc>
          <w:tcPr>
            <w:tcW w:w="0" w:type="auto"/>
          </w:tcPr>
          <w:p w14:paraId="70F4A5CF">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项号26.尺寸：≥6</w:t>
            </w:r>
            <w:r>
              <w:rPr>
                <w:rFonts w:ascii="宋体" w:hAnsi="宋体" w:eastAsia="宋体" w:cs="宋体"/>
                <w:color w:val="000000"/>
                <w:kern w:val="0"/>
                <w:sz w:val="20"/>
                <w:szCs w:val="20"/>
                <w:highlight w:val="none"/>
              </w:rPr>
              <w:t>U</w:t>
            </w:r>
            <w:r>
              <w:rPr>
                <w:rFonts w:hint="eastAsia" w:ascii="宋体" w:hAnsi="宋体" w:eastAsia="宋体" w:cs="宋体"/>
                <w:color w:val="000000"/>
                <w:kern w:val="0"/>
                <w:sz w:val="20"/>
                <w:szCs w:val="20"/>
                <w:highlight w:val="none"/>
              </w:rPr>
              <w:t>；安装尺寸：19英寸；</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项号27.静态负载(Kg)：≥60；</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项号28.防护等级：≥IP20；</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项号29.框架：整体焊接式结构；前门：单开透明≥5mm钢化玻璃。</w:t>
            </w:r>
          </w:p>
        </w:tc>
        <w:tc>
          <w:tcPr>
            <w:tcW w:w="0" w:type="auto"/>
            <w:vAlign w:val="center"/>
          </w:tcPr>
          <w:p w14:paraId="7489F593">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0" w:type="auto"/>
            <w:vAlign w:val="center"/>
          </w:tcPr>
          <w:p w14:paraId="6B9F0083">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个</w:t>
            </w:r>
          </w:p>
        </w:tc>
        <w:tc>
          <w:tcPr>
            <w:tcW w:w="0" w:type="auto"/>
            <w:vAlign w:val="center"/>
          </w:tcPr>
          <w:p w14:paraId="4DE38206">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w:t>
            </w:r>
          </w:p>
        </w:tc>
      </w:tr>
      <w:tr w14:paraId="2EC349C7">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0" w:type="auto"/>
            <w:vAlign w:val="center"/>
          </w:tcPr>
          <w:p w14:paraId="14D9F27E">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1.8</w:t>
            </w:r>
          </w:p>
        </w:tc>
        <w:tc>
          <w:tcPr>
            <w:tcW w:w="0" w:type="auto"/>
            <w:vAlign w:val="center"/>
          </w:tcPr>
          <w:p w14:paraId="0838907D">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监控主干电源线</w:t>
            </w:r>
          </w:p>
        </w:tc>
        <w:tc>
          <w:tcPr>
            <w:tcW w:w="0" w:type="auto"/>
            <w:shd w:val="clear" w:color="000000" w:fill="FFFFFF"/>
            <w:vAlign w:val="center"/>
          </w:tcPr>
          <w:p w14:paraId="7D0BAE2C">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项号</w:t>
            </w:r>
            <w:r>
              <w:rPr>
                <w:rFonts w:ascii="宋体" w:hAnsi="宋体" w:eastAsia="宋体" w:cs="宋体"/>
                <w:color w:val="000000"/>
                <w:kern w:val="0"/>
                <w:sz w:val="20"/>
                <w:szCs w:val="20"/>
                <w:highlight w:val="none"/>
              </w:rPr>
              <w:t>3</w:t>
            </w:r>
            <w:r>
              <w:rPr>
                <w:rFonts w:hint="eastAsia" w:ascii="宋体" w:hAnsi="宋体" w:eastAsia="宋体" w:cs="宋体"/>
                <w:color w:val="000000"/>
                <w:kern w:val="0"/>
                <w:sz w:val="20"/>
                <w:szCs w:val="20"/>
                <w:highlight w:val="none"/>
              </w:rPr>
              <w:t>0.规格≥RVV3*1.5</w:t>
            </w:r>
          </w:p>
        </w:tc>
        <w:tc>
          <w:tcPr>
            <w:tcW w:w="0" w:type="auto"/>
            <w:vAlign w:val="center"/>
          </w:tcPr>
          <w:p w14:paraId="4425D8FA">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0" w:type="auto"/>
            <w:vAlign w:val="center"/>
          </w:tcPr>
          <w:p w14:paraId="7B01C68F">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捆</w:t>
            </w:r>
          </w:p>
        </w:tc>
        <w:tc>
          <w:tcPr>
            <w:tcW w:w="0" w:type="auto"/>
            <w:vAlign w:val="center"/>
          </w:tcPr>
          <w:p w14:paraId="0E2B50B1">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w:t>
            </w:r>
          </w:p>
        </w:tc>
      </w:tr>
      <w:tr w14:paraId="4DB55A36">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91" w:hRule="atLeast"/>
        </w:trPr>
        <w:tc>
          <w:tcPr>
            <w:tcW w:w="0" w:type="auto"/>
            <w:vAlign w:val="center"/>
          </w:tcPr>
          <w:p w14:paraId="14F228F8">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1.9</w:t>
            </w:r>
          </w:p>
        </w:tc>
        <w:tc>
          <w:tcPr>
            <w:tcW w:w="0" w:type="auto"/>
            <w:vAlign w:val="center"/>
          </w:tcPr>
          <w:p w14:paraId="291A651F">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六类非屏蔽双绞线</w:t>
            </w:r>
          </w:p>
        </w:tc>
        <w:tc>
          <w:tcPr>
            <w:tcW w:w="0" w:type="auto"/>
            <w:shd w:val="clear" w:color="000000" w:fill="FFFFFF"/>
            <w:vAlign w:val="center"/>
          </w:tcPr>
          <w:p w14:paraId="74A6247C">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项号</w:t>
            </w:r>
            <w:r>
              <w:rPr>
                <w:rFonts w:ascii="宋体" w:hAnsi="宋体" w:eastAsia="宋体" w:cs="宋体"/>
                <w:color w:val="000000"/>
                <w:kern w:val="0"/>
                <w:sz w:val="20"/>
                <w:szCs w:val="20"/>
                <w:highlight w:val="none"/>
              </w:rPr>
              <w:t>3</w:t>
            </w:r>
            <w:r>
              <w:rPr>
                <w:rFonts w:hint="eastAsia" w:ascii="宋体" w:hAnsi="宋体" w:eastAsia="宋体" w:cs="宋体"/>
                <w:color w:val="000000"/>
                <w:kern w:val="0"/>
                <w:sz w:val="20"/>
                <w:szCs w:val="20"/>
                <w:highlight w:val="none"/>
              </w:rPr>
              <w:t>1.最高传输频率≥250MHz，额定传输速率≥68%；</w:t>
            </w:r>
          </w:p>
          <w:p w14:paraId="24D29B2A">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项号</w:t>
            </w:r>
            <w:r>
              <w:rPr>
                <w:rFonts w:ascii="宋体" w:hAnsi="宋体" w:eastAsia="宋体" w:cs="宋体"/>
                <w:color w:val="000000"/>
                <w:kern w:val="0"/>
                <w:sz w:val="20"/>
                <w:szCs w:val="20"/>
                <w:highlight w:val="none"/>
              </w:rPr>
              <w:t>3</w:t>
            </w:r>
            <w:r>
              <w:rPr>
                <w:rFonts w:hint="eastAsia" w:ascii="宋体" w:hAnsi="宋体" w:eastAsia="宋体" w:cs="宋体"/>
                <w:color w:val="000000"/>
                <w:kern w:val="0"/>
                <w:sz w:val="20"/>
                <w:szCs w:val="20"/>
                <w:highlight w:val="none"/>
              </w:rPr>
              <w:t>2.线对采用“十”字骨架隔离，护套材料：PVC；</w:t>
            </w:r>
          </w:p>
          <w:p w14:paraId="3E97664F">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项号</w:t>
            </w:r>
            <w:r>
              <w:rPr>
                <w:rFonts w:ascii="宋体" w:hAnsi="宋体" w:eastAsia="宋体" w:cs="宋体"/>
                <w:color w:val="000000"/>
                <w:kern w:val="0"/>
                <w:sz w:val="20"/>
                <w:szCs w:val="20"/>
                <w:highlight w:val="none"/>
              </w:rPr>
              <w:t>3</w:t>
            </w:r>
            <w:r>
              <w:rPr>
                <w:rFonts w:hint="eastAsia" w:ascii="宋体" w:hAnsi="宋体" w:eastAsia="宋体" w:cs="宋体"/>
                <w:color w:val="000000"/>
                <w:kern w:val="0"/>
                <w:sz w:val="20"/>
                <w:szCs w:val="20"/>
                <w:highlight w:val="none"/>
              </w:rPr>
              <w:t>3.六类非屏蔽信道供电设备输出功率≥103W，终端设备输入功率≥90W，吞吐量满足双向≥1000Mbit/S，侦丢失率满足0.00%。</w:t>
            </w:r>
          </w:p>
        </w:tc>
        <w:tc>
          <w:tcPr>
            <w:tcW w:w="0" w:type="auto"/>
            <w:vAlign w:val="center"/>
          </w:tcPr>
          <w:p w14:paraId="513CCC8D">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4</w:t>
            </w:r>
          </w:p>
        </w:tc>
        <w:tc>
          <w:tcPr>
            <w:tcW w:w="0" w:type="auto"/>
            <w:vAlign w:val="center"/>
          </w:tcPr>
          <w:p w14:paraId="24800D9F">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箱</w:t>
            </w:r>
          </w:p>
        </w:tc>
        <w:tc>
          <w:tcPr>
            <w:tcW w:w="0" w:type="auto"/>
            <w:vAlign w:val="center"/>
          </w:tcPr>
          <w:p w14:paraId="5F9762C7">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w:t>
            </w:r>
          </w:p>
        </w:tc>
      </w:tr>
      <w:tr w14:paraId="41E23354">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91" w:hRule="atLeast"/>
        </w:trPr>
        <w:tc>
          <w:tcPr>
            <w:tcW w:w="0" w:type="auto"/>
            <w:vAlign w:val="center"/>
          </w:tcPr>
          <w:p w14:paraId="4152B55D">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1.10</w:t>
            </w:r>
          </w:p>
        </w:tc>
        <w:tc>
          <w:tcPr>
            <w:tcW w:w="0" w:type="auto"/>
            <w:vAlign w:val="center"/>
          </w:tcPr>
          <w:p w14:paraId="1D049245">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PVC20管</w:t>
            </w:r>
          </w:p>
        </w:tc>
        <w:tc>
          <w:tcPr>
            <w:tcW w:w="0" w:type="auto"/>
            <w:shd w:val="clear" w:color="000000" w:fill="FFFFFF"/>
            <w:vAlign w:val="center"/>
          </w:tcPr>
          <w:p w14:paraId="536C209B">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项号</w:t>
            </w:r>
            <w:r>
              <w:rPr>
                <w:rFonts w:ascii="宋体" w:hAnsi="宋体" w:eastAsia="宋体" w:cs="宋体"/>
                <w:color w:val="000000"/>
                <w:kern w:val="0"/>
                <w:sz w:val="20"/>
                <w:szCs w:val="20"/>
                <w:highlight w:val="none"/>
              </w:rPr>
              <w:t>3</w:t>
            </w:r>
            <w:r>
              <w:rPr>
                <w:rFonts w:hint="eastAsia" w:ascii="宋体" w:hAnsi="宋体" w:eastAsia="宋体" w:cs="宋体"/>
                <w:color w:val="000000"/>
                <w:kern w:val="0"/>
                <w:sz w:val="20"/>
                <w:szCs w:val="20"/>
                <w:highlight w:val="none"/>
              </w:rPr>
              <w:t>4.规格≥DN20，材质PVC线管；</w:t>
            </w:r>
          </w:p>
        </w:tc>
        <w:tc>
          <w:tcPr>
            <w:tcW w:w="0" w:type="auto"/>
            <w:vAlign w:val="center"/>
          </w:tcPr>
          <w:p w14:paraId="762BB558">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830</w:t>
            </w:r>
          </w:p>
        </w:tc>
        <w:tc>
          <w:tcPr>
            <w:tcW w:w="0" w:type="auto"/>
            <w:vAlign w:val="center"/>
          </w:tcPr>
          <w:p w14:paraId="05D8E569">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米</w:t>
            </w:r>
          </w:p>
        </w:tc>
        <w:tc>
          <w:tcPr>
            <w:tcW w:w="0" w:type="auto"/>
            <w:vAlign w:val="center"/>
          </w:tcPr>
          <w:p w14:paraId="6CE5AB1C">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w:t>
            </w:r>
          </w:p>
        </w:tc>
      </w:tr>
      <w:tr w14:paraId="797DA382">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98" w:hRule="atLeast"/>
        </w:trPr>
        <w:tc>
          <w:tcPr>
            <w:tcW w:w="0" w:type="auto"/>
            <w:shd w:val="clear" w:color="000000" w:fill="D9D9D9"/>
            <w:vAlign w:val="center"/>
          </w:tcPr>
          <w:p w14:paraId="1DD7F58F">
            <w:pPr>
              <w:widowControl/>
              <w:spacing w:line="240" w:lineRule="auto"/>
              <w:ind w:firstLine="0" w:firstLineChars="0"/>
              <w:jc w:val="center"/>
              <w:rPr>
                <w:b/>
                <w:bCs/>
                <w:color w:val="000000"/>
                <w:sz w:val="20"/>
                <w:szCs w:val="20"/>
                <w:highlight w:val="none"/>
              </w:rPr>
            </w:pPr>
            <w:r>
              <w:rPr>
                <w:rFonts w:hint="eastAsia"/>
                <w:b/>
                <w:bCs/>
                <w:color w:val="000000"/>
                <w:sz w:val="20"/>
                <w:szCs w:val="20"/>
                <w:highlight w:val="none"/>
              </w:rPr>
              <w:t>二</w:t>
            </w:r>
          </w:p>
        </w:tc>
        <w:tc>
          <w:tcPr>
            <w:tcW w:w="0" w:type="auto"/>
            <w:gridSpan w:val="5"/>
            <w:shd w:val="clear" w:color="000000" w:fill="D9D9D9"/>
            <w:vAlign w:val="center"/>
          </w:tcPr>
          <w:p w14:paraId="334F04F3">
            <w:pPr>
              <w:widowControl/>
              <w:spacing w:line="240" w:lineRule="auto"/>
              <w:ind w:firstLine="0" w:firstLineChars="0"/>
              <w:jc w:val="left"/>
              <w:rPr>
                <w:b/>
                <w:bCs/>
                <w:color w:val="000000"/>
                <w:sz w:val="20"/>
                <w:szCs w:val="20"/>
                <w:highlight w:val="none"/>
              </w:rPr>
            </w:pPr>
            <w:r>
              <w:rPr>
                <w:rFonts w:hint="eastAsia"/>
                <w:b/>
                <w:bCs/>
                <w:color w:val="000000"/>
                <w:sz w:val="20"/>
                <w:szCs w:val="20"/>
                <w:highlight w:val="none"/>
              </w:rPr>
              <w:t>内科楼地下一层</w:t>
            </w:r>
          </w:p>
        </w:tc>
      </w:tr>
      <w:tr w14:paraId="11C56416">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0" w:type="auto"/>
            <w:vAlign w:val="center"/>
          </w:tcPr>
          <w:p w14:paraId="63F6B7A2">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2.1</w:t>
            </w:r>
          </w:p>
        </w:tc>
        <w:tc>
          <w:tcPr>
            <w:tcW w:w="0" w:type="auto"/>
            <w:vAlign w:val="center"/>
          </w:tcPr>
          <w:p w14:paraId="0AEFBEC3">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400W室内枪机</w:t>
            </w:r>
          </w:p>
        </w:tc>
        <w:tc>
          <w:tcPr>
            <w:tcW w:w="0" w:type="auto"/>
            <w:shd w:val="clear" w:color="000000" w:fill="FFFFFF"/>
            <w:vAlign w:val="center"/>
          </w:tcPr>
          <w:p w14:paraId="2A75EA73">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项号</w:t>
            </w:r>
            <w:r>
              <w:rPr>
                <w:rFonts w:ascii="宋体" w:hAnsi="宋体" w:eastAsia="宋体" w:cs="宋体"/>
                <w:color w:val="000000"/>
                <w:kern w:val="0"/>
                <w:sz w:val="20"/>
                <w:szCs w:val="20"/>
                <w:highlight w:val="none"/>
              </w:rPr>
              <w:t>3</w:t>
            </w:r>
            <w:r>
              <w:rPr>
                <w:rFonts w:hint="eastAsia" w:ascii="宋体" w:hAnsi="宋体" w:eastAsia="宋体" w:cs="宋体"/>
                <w:color w:val="000000"/>
                <w:kern w:val="0"/>
                <w:sz w:val="20"/>
                <w:szCs w:val="20"/>
                <w:highlight w:val="none"/>
              </w:rPr>
              <w:t xml:space="preserve">5. 像素≥400万，清晰度≥1400TVL，内置≥1颗CPU、GPU、NPU于一体的芯片，支持DC12V或POE供电。 </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 xml:space="preserve">项号36. 补光灯灯杯采用双层透镜结构，外表平面为柔光层，采用复眼式微透镜阵列，具有六边形阵列纹路;下层束光层为鳞甲TIR透镜，内壁具有鳞甲阵列纹路。 </w:t>
            </w:r>
            <w:r>
              <w:rPr>
                <w:rFonts w:hint="eastAsia" w:ascii="宋体" w:hAnsi="宋体" w:eastAsia="宋体" w:cs="宋体"/>
                <w:b/>
                <w:bCs/>
                <w:color w:val="000000"/>
                <w:kern w:val="0"/>
                <w:sz w:val="20"/>
                <w:szCs w:val="20"/>
                <w:highlight w:val="none"/>
              </w:rPr>
              <w:t>（前述技术参数均须在投标文件中提供第三方检测机构出具的具有CMA或CNAS标识的有效检测报告复印件进行佐证)</w:t>
            </w:r>
            <w:r>
              <w:rPr>
                <w:rFonts w:hint="eastAsia" w:ascii="宋体" w:hAnsi="宋体" w:eastAsia="宋体" w:cs="宋体"/>
                <w:b/>
                <w:bCs/>
                <w:color w:val="000000"/>
                <w:kern w:val="0"/>
                <w:sz w:val="20"/>
                <w:szCs w:val="20"/>
                <w:highlight w:val="none"/>
              </w:rPr>
              <w:br w:type="textWrapping"/>
            </w:r>
            <w:r>
              <w:rPr>
                <w:rFonts w:ascii="宋体" w:hAnsi="宋体" w:cs="宋体"/>
                <w:color w:val="000000" w:themeColor="text1"/>
                <w:kern w:val="0"/>
                <w:highlight w:val="none"/>
                <w14:textFill>
                  <w14:solidFill>
                    <w14:schemeClr w14:val="tx1"/>
                  </w14:solidFill>
                </w14:textFill>
              </w:rPr>
              <w:t>▲</w:t>
            </w:r>
            <w:r>
              <w:rPr>
                <w:rFonts w:hint="eastAsia" w:ascii="宋体" w:hAnsi="宋体" w:eastAsia="宋体" w:cs="宋体"/>
                <w:color w:val="000000"/>
                <w:kern w:val="0"/>
                <w:sz w:val="20"/>
                <w:szCs w:val="20"/>
                <w:highlight w:val="none"/>
              </w:rPr>
              <w:t>项号37. 补光灯开启后，灯光应为椭圆形形状，且补光灯均匀无波纹状、圆环状、麻点状、条纹状和不规则亮斑。</w:t>
            </w:r>
            <w:r>
              <w:rPr>
                <w:rFonts w:hint="eastAsia" w:ascii="宋体" w:hAnsi="宋体" w:eastAsia="宋体" w:cs="宋体"/>
                <w:b/>
                <w:bCs/>
                <w:color w:val="000000"/>
                <w:kern w:val="0"/>
                <w:sz w:val="20"/>
                <w:szCs w:val="20"/>
                <w:highlight w:val="none"/>
              </w:rPr>
              <w:t>（前述技术参数均须在投标文件中提供第三方检测机构出具的具有CMA或CNAS标识的有效检测报告复印件进行佐证)</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 xml:space="preserve">项号38. 具有日夜场景自适应功能，在白天和夜晚环境下，样机均可输出彩色图像，在夜晚自动开启补光灯条件下，夜晚图像清晰度应≥白天图像清晰度的95%。 </w:t>
            </w:r>
            <w:r>
              <w:rPr>
                <w:rFonts w:hint="eastAsia" w:ascii="宋体" w:hAnsi="宋体" w:eastAsia="宋体" w:cs="宋体"/>
                <w:color w:val="000000"/>
                <w:kern w:val="0"/>
                <w:sz w:val="20"/>
                <w:szCs w:val="20"/>
                <w:highlight w:val="none"/>
              </w:rPr>
              <w:br w:type="textWrapping"/>
            </w:r>
            <w:r>
              <w:rPr>
                <w:rFonts w:ascii="宋体" w:hAnsi="宋体" w:cs="宋体"/>
                <w:color w:val="000000" w:themeColor="text1"/>
                <w:kern w:val="0"/>
                <w:highlight w:val="none"/>
                <w14:textFill>
                  <w14:solidFill>
                    <w14:schemeClr w14:val="tx1"/>
                  </w14:solidFill>
                </w14:textFill>
              </w:rPr>
              <w:t>▲</w:t>
            </w:r>
            <w:r>
              <w:rPr>
                <w:rFonts w:hint="eastAsia" w:ascii="宋体" w:hAnsi="宋体" w:eastAsia="宋体" w:cs="宋体"/>
                <w:color w:val="000000"/>
                <w:kern w:val="0"/>
                <w:sz w:val="20"/>
                <w:szCs w:val="20"/>
                <w:highlight w:val="none"/>
              </w:rPr>
              <w:t>项号39.具有AI-ISP图像质量提升功能，在低照度环境下，可自动调节预览场景视频画面中人脸、人体、车辆等目标及预览场景视频画面的区域曝光、亮度、色彩饱和度、对比度、锐度等。</w:t>
            </w:r>
            <w:r>
              <w:rPr>
                <w:rFonts w:hint="eastAsia" w:ascii="宋体" w:hAnsi="宋体" w:eastAsia="宋体" w:cs="宋体"/>
                <w:b/>
                <w:bCs/>
                <w:color w:val="000000"/>
                <w:kern w:val="0"/>
                <w:sz w:val="20"/>
                <w:szCs w:val="20"/>
                <w:highlight w:val="none"/>
              </w:rPr>
              <w:t>（前述技术参数均须在投标文件中提供第三方检测机构出具的具有CMA或CNAS标识的有效检测报告复印件进行佐证)</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 xml:space="preserve">项号40. 当智能分析行为类型为移动侦测，报警目标设置为人形时，仅当检测场景中出现人形时触发报警，在设定区域内出现以下情况时，不触发报警：光线明暗变化、篮球滚动、狗行走、树摇晃、旗帜飘动、车辆。 </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 xml:space="preserve">项号41. 当报警产生时，可触发联动声音报警。报警声音类型≥10 种，报警音量和重复次数可设置。 </w:t>
            </w:r>
          </w:p>
        </w:tc>
        <w:tc>
          <w:tcPr>
            <w:tcW w:w="0" w:type="auto"/>
            <w:vAlign w:val="center"/>
          </w:tcPr>
          <w:p w14:paraId="08B00CAE">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10</w:t>
            </w:r>
          </w:p>
        </w:tc>
        <w:tc>
          <w:tcPr>
            <w:tcW w:w="0" w:type="auto"/>
            <w:vAlign w:val="center"/>
          </w:tcPr>
          <w:p w14:paraId="64E32CF3">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台</w:t>
            </w:r>
          </w:p>
        </w:tc>
        <w:tc>
          <w:tcPr>
            <w:tcW w:w="0" w:type="auto"/>
            <w:vAlign w:val="center"/>
          </w:tcPr>
          <w:p w14:paraId="7A4059E3">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w:t>
            </w:r>
          </w:p>
        </w:tc>
      </w:tr>
      <w:tr w14:paraId="25F8B235">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0" w:type="auto"/>
            <w:vAlign w:val="center"/>
          </w:tcPr>
          <w:p w14:paraId="5C9D54F7">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2.2</w:t>
            </w:r>
          </w:p>
        </w:tc>
        <w:tc>
          <w:tcPr>
            <w:tcW w:w="0" w:type="auto"/>
            <w:vAlign w:val="center"/>
          </w:tcPr>
          <w:p w14:paraId="1AD171AF">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监控存储节点</w:t>
            </w:r>
          </w:p>
        </w:tc>
        <w:tc>
          <w:tcPr>
            <w:tcW w:w="0" w:type="auto"/>
            <w:shd w:val="clear" w:color="000000" w:fill="FFFFFF"/>
            <w:vAlign w:val="center"/>
          </w:tcPr>
          <w:p w14:paraId="7002F3E7">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项号42. 具有≥2个HDMI接口、≥2个VGA接口、≥2个RJ45千兆网络接口、≥2个USB2.0接口、≥2个USB3.0接口、≥1个RS232接口、≥1个RS485接口（可接入RS485键盘）；具有≥1路音频输入接口、≥2路音频输出接口，≥16路报警输入接口、≥4路报警输出接口；可内置≥16个SATA接口硬盘 </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 xml:space="preserve">项号43. 支持接入带宽≥384Mbps，存储带宽≥384Mbps，转发带宽≥256Mbps </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项号44. 支持前端IPC证书二次校验机制，未通过证书校验的IPC不允许添加到NVR 。</w:t>
            </w:r>
            <w:r>
              <w:rPr>
                <w:rFonts w:hint="eastAsia" w:ascii="宋体" w:hAnsi="宋体" w:eastAsia="宋体" w:cs="宋体"/>
                <w:color w:val="000000"/>
                <w:kern w:val="0"/>
                <w:sz w:val="20"/>
                <w:szCs w:val="20"/>
                <w:highlight w:val="none"/>
              </w:rPr>
              <w:br w:type="textWrapping"/>
            </w:r>
            <w:r>
              <w:rPr>
                <w:rFonts w:ascii="宋体" w:hAnsi="宋体" w:cs="宋体"/>
                <w:color w:val="000000" w:themeColor="text1"/>
                <w:kern w:val="0"/>
                <w:highlight w:val="none"/>
                <w14:textFill>
                  <w14:solidFill>
                    <w14:schemeClr w14:val="tx1"/>
                  </w14:solidFill>
                </w14:textFill>
              </w:rPr>
              <w:t>▲</w:t>
            </w:r>
            <w:r>
              <w:rPr>
                <w:rFonts w:hint="eastAsia" w:ascii="宋体" w:hAnsi="宋体" w:eastAsia="宋体" w:cs="宋体"/>
                <w:color w:val="000000"/>
                <w:kern w:val="0"/>
                <w:sz w:val="20"/>
                <w:szCs w:val="20"/>
                <w:highlight w:val="none"/>
              </w:rPr>
              <w:t>项号45. 支持预览的单窗口轮巡，设备支持在多画面的固定窗口上进行轮巡预览，其他预览窗口不轮巡。（前述技术参数均须在投标文件中提供第三方检测机构出具的具有CMA或CNAS标识的有效检测报告复印件进行佐证)</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 xml:space="preserve">项号46. 支持查看在线用户信息，包括用户名、用户类型、IP地址和用户最后操作时间等维护信息 </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项号47. 支持音视频动态调整组合分配功能，可将任一路音频与任一路视频组合成复合流编码；（前述技术参数均须在投标文件中提供第三方检测机构出具的具有CMA或CNAS标识的有效检测报告复印件进行佐证)</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 xml:space="preserve">项号48. 支持网络端口扫描行为预警，可自动封禁IP，并上报预警，支持远程下发IP拦截； </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项号49. 支持自动跳转https功能，设备启用自动跳转https功能后不支持http协议访问，http访问入口连接会自动重定向到https入口。（前述技术参数均须在投标文件中提供第三方检测机构出具的具有CMA或CNAS标识的有效检测报告复印件进行佐证)</w:t>
            </w:r>
          </w:p>
        </w:tc>
        <w:tc>
          <w:tcPr>
            <w:tcW w:w="0" w:type="auto"/>
            <w:vAlign w:val="center"/>
          </w:tcPr>
          <w:p w14:paraId="3C53E100">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0" w:type="auto"/>
            <w:vAlign w:val="center"/>
          </w:tcPr>
          <w:p w14:paraId="78EB8F0B">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台</w:t>
            </w:r>
          </w:p>
        </w:tc>
        <w:tc>
          <w:tcPr>
            <w:tcW w:w="0" w:type="auto"/>
            <w:vAlign w:val="center"/>
          </w:tcPr>
          <w:p w14:paraId="7FDB9539">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w:t>
            </w:r>
          </w:p>
        </w:tc>
      </w:tr>
      <w:tr w14:paraId="161CAC5E">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0" w:type="auto"/>
            <w:vAlign w:val="center"/>
          </w:tcPr>
          <w:p w14:paraId="50D95087">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2.3</w:t>
            </w:r>
          </w:p>
        </w:tc>
        <w:tc>
          <w:tcPr>
            <w:tcW w:w="0" w:type="auto"/>
            <w:vAlign w:val="center"/>
          </w:tcPr>
          <w:p w14:paraId="3BF32A81">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监控硬盘</w:t>
            </w:r>
          </w:p>
        </w:tc>
        <w:tc>
          <w:tcPr>
            <w:tcW w:w="0" w:type="auto"/>
            <w:shd w:val="clear" w:color="000000" w:fill="FFFFFF"/>
            <w:vAlign w:val="center"/>
          </w:tcPr>
          <w:p w14:paraId="7AB25A12">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项号50.≥12TB容量，3.5英寸，SATA接口，≥7200RPM</w:t>
            </w:r>
          </w:p>
        </w:tc>
        <w:tc>
          <w:tcPr>
            <w:tcW w:w="0" w:type="auto"/>
            <w:vAlign w:val="center"/>
          </w:tcPr>
          <w:p w14:paraId="2736621F">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7</w:t>
            </w:r>
          </w:p>
        </w:tc>
        <w:tc>
          <w:tcPr>
            <w:tcW w:w="0" w:type="auto"/>
            <w:vAlign w:val="center"/>
          </w:tcPr>
          <w:p w14:paraId="6C5F0338">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块</w:t>
            </w:r>
          </w:p>
        </w:tc>
        <w:tc>
          <w:tcPr>
            <w:tcW w:w="0" w:type="auto"/>
            <w:vAlign w:val="center"/>
          </w:tcPr>
          <w:p w14:paraId="140B71E2">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w:t>
            </w:r>
          </w:p>
        </w:tc>
      </w:tr>
      <w:tr w14:paraId="7082E523">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0" w:type="auto"/>
            <w:vAlign w:val="center"/>
          </w:tcPr>
          <w:p w14:paraId="650D4DA4">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2.4</w:t>
            </w:r>
          </w:p>
        </w:tc>
        <w:tc>
          <w:tcPr>
            <w:tcW w:w="0" w:type="auto"/>
            <w:vAlign w:val="center"/>
          </w:tcPr>
          <w:p w14:paraId="4A686EF5">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24口POE接入交换机</w:t>
            </w:r>
          </w:p>
        </w:tc>
        <w:tc>
          <w:tcPr>
            <w:tcW w:w="0" w:type="auto"/>
            <w:shd w:val="clear" w:color="000000" w:fill="FFFFFF"/>
            <w:vAlign w:val="center"/>
          </w:tcPr>
          <w:p w14:paraId="2CA7F46D">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项号51.交换容量≥432Gbps，包转发率≥51Mpps，固化10/100/1000M以太网电口≥24，1000M SFP千兆光接口≥4个；</w:t>
            </w:r>
          </w:p>
          <w:p w14:paraId="237599CD">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项号52.支持POE和POE+,同时可POE供电端口≥24个，POE输出功率≥370W，PoE满载下整机功耗≥403W</w:t>
            </w:r>
            <w:r>
              <w:rPr>
                <w:rFonts w:hint="eastAsia" w:ascii="宋体" w:hAnsi="宋体" w:eastAsia="宋体" w:cs="宋体"/>
                <w:color w:val="000000"/>
                <w:kern w:val="0"/>
                <w:sz w:val="20"/>
                <w:szCs w:val="20"/>
                <w:highlight w:val="none"/>
              </w:rPr>
              <w:br w:type="textWrapping"/>
            </w:r>
            <w:r>
              <w:rPr>
                <w:rFonts w:ascii="宋体" w:hAnsi="宋体" w:cs="宋体"/>
                <w:color w:val="000000" w:themeColor="text1"/>
                <w:kern w:val="0"/>
                <w:highlight w:val="none"/>
                <w14:textFill>
                  <w14:solidFill>
                    <w14:schemeClr w14:val="tx1"/>
                  </w14:solidFill>
                </w14:textFill>
              </w:rPr>
              <w:t>▲</w:t>
            </w:r>
            <w:r>
              <w:rPr>
                <w:rFonts w:hint="eastAsia" w:ascii="宋体" w:hAnsi="宋体" w:eastAsia="宋体" w:cs="宋体"/>
                <w:color w:val="000000"/>
                <w:kern w:val="0"/>
                <w:sz w:val="20"/>
                <w:szCs w:val="20"/>
                <w:highlight w:val="none"/>
              </w:rPr>
              <w:t>项号53.外壳机械碰撞防护≥IK05</w:t>
            </w:r>
            <w:r>
              <w:rPr>
                <w:rFonts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rPr>
              <w:t>（前述技术参数均须在投标文件中提供第三方检测机构出具的具有CMA或CNAS标识的有效检测报告复印件进行佐证)</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项号54.设备采用降噪设计，整机噪声≤39dB，提供官网截图和链接证明</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项号55.绿色节能：要求支持高效节能以太网特性。端口如果在连续一段时间之内空闲，系统会将该端口设置为节能模式，当有报文收发时再通过定时发送的监听码流唤醒端口恢复业务，达到节能的效果。</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项号56.要求所投产品端口浪涌抗扰度≥10KV（即具备10KV的防雷能力），提供官网截图和链接证明</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项号57.支持专门针对CPU的保护机制，能够针对发往CPU处理的各种报文进行流区分和优先级队列分级处理，保护交换机在各种环境下稳定工作</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项号58.支持基础网络保护策略，能够限制用户向网络中发送ARP报文、ICMP请求报文、DHCP请求报文等数据包的数率，对超过限速阈值的报文进行丢弃处理，甚至能够识别攻击行为，对有攻击行为的用户进行隔离。</w:t>
            </w:r>
          </w:p>
        </w:tc>
        <w:tc>
          <w:tcPr>
            <w:tcW w:w="0" w:type="auto"/>
            <w:vAlign w:val="center"/>
          </w:tcPr>
          <w:p w14:paraId="719A1D6B">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0" w:type="auto"/>
            <w:vAlign w:val="center"/>
          </w:tcPr>
          <w:p w14:paraId="40678ACE">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台</w:t>
            </w:r>
          </w:p>
        </w:tc>
        <w:tc>
          <w:tcPr>
            <w:tcW w:w="0" w:type="auto"/>
            <w:vAlign w:val="center"/>
          </w:tcPr>
          <w:p w14:paraId="5F44E144">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w:t>
            </w:r>
          </w:p>
        </w:tc>
      </w:tr>
      <w:tr w14:paraId="511DA95A">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0" w:type="auto"/>
            <w:vAlign w:val="center"/>
          </w:tcPr>
          <w:p w14:paraId="689D5E15">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2.5</w:t>
            </w:r>
          </w:p>
        </w:tc>
        <w:tc>
          <w:tcPr>
            <w:tcW w:w="0" w:type="auto"/>
            <w:vAlign w:val="center"/>
          </w:tcPr>
          <w:p w14:paraId="782F3AE5">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设备机柜（12U）</w:t>
            </w:r>
          </w:p>
        </w:tc>
        <w:tc>
          <w:tcPr>
            <w:tcW w:w="0" w:type="auto"/>
            <w:shd w:val="clear" w:color="000000" w:fill="FFFFFF"/>
            <w:vAlign w:val="center"/>
          </w:tcPr>
          <w:p w14:paraId="46F35947">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项号59.尺寸：≥</w:t>
            </w:r>
            <w:r>
              <w:rPr>
                <w:rFonts w:ascii="宋体" w:hAnsi="宋体" w:eastAsia="宋体" w:cs="宋体"/>
                <w:color w:val="000000"/>
                <w:kern w:val="0"/>
                <w:sz w:val="20"/>
                <w:szCs w:val="20"/>
                <w:highlight w:val="none"/>
              </w:rPr>
              <w:t>12U</w:t>
            </w:r>
            <w:r>
              <w:rPr>
                <w:rFonts w:hint="eastAsia" w:ascii="宋体" w:hAnsi="宋体" w:eastAsia="宋体" w:cs="宋体"/>
                <w:color w:val="000000"/>
                <w:kern w:val="0"/>
                <w:sz w:val="20"/>
                <w:szCs w:val="20"/>
                <w:highlight w:val="none"/>
              </w:rPr>
              <w:t>，安装尺寸：19英寸；</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项号60.材料为优质SPCC冷轧钢板，其中角规厚度： ≥1.2mm，侧板厚度≥1.0mm，其他主要部件厚度≥1.2mm；静态负载(Kg)：≥60，防护等级：≥IP20；</w:t>
            </w:r>
          </w:p>
          <w:p w14:paraId="00B4DCD4">
            <w:pPr>
              <w:widowControl/>
              <w:spacing w:line="240" w:lineRule="auto"/>
              <w:ind w:firstLine="0" w:firstLineChars="0"/>
              <w:jc w:val="left"/>
              <w:rPr>
                <w:rFonts w:hint="eastAsia" w:ascii="宋体" w:hAnsi="宋体" w:eastAsia="宋体" w:cs="宋体"/>
                <w:color w:val="000000"/>
                <w:kern w:val="0"/>
                <w:sz w:val="20"/>
                <w:szCs w:val="20"/>
                <w:highlight w:val="none"/>
              </w:rPr>
            </w:pPr>
            <w:r>
              <w:rPr>
                <w:rFonts w:ascii="宋体" w:hAnsi="宋体" w:cs="宋体"/>
                <w:color w:val="000000" w:themeColor="text1"/>
                <w:kern w:val="0"/>
                <w:highlight w:val="none"/>
                <w14:textFill>
                  <w14:solidFill>
                    <w14:schemeClr w14:val="tx1"/>
                  </w14:solidFill>
                </w14:textFill>
              </w:rPr>
              <w:t>▲</w:t>
            </w:r>
            <w:r>
              <w:rPr>
                <w:rFonts w:hint="eastAsia" w:ascii="宋体" w:hAnsi="宋体" w:eastAsia="宋体" w:cs="宋体"/>
                <w:color w:val="000000"/>
                <w:kern w:val="0"/>
                <w:sz w:val="20"/>
                <w:szCs w:val="20"/>
                <w:highlight w:val="none"/>
              </w:rPr>
              <w:t>项号61.内置隔离型防雷器，耐受冲击电流≥1KA，耐受冲击电压≥6KV。（前述技术参数均须在投标文件中提供第三方检测机构出具的具有CMA或CNAS标识的有效检测报告复印件进行佐证)</w:t>
            </w:r>
          </w:p>
        </w:tc>
        <w:tc>
          <w:tcPr>
            <w:tcW w:w="0" w:type="auto"/>
            <w:vAlign w:val="center"/>
          </w:tcPr>
          <w:p w14:paraId="358850F0">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0" w:type="auto"/>
            <w:vAlign w:val="center"/>
          </w:tcPr>
          <w:p w14:paraId="4995C933">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台</w:t>
            </w:r>
          </w:p>
        </w:tc>
        <w:tc>
          <w:tcPr>
            <w:tcW w:w="0" w:type="auto"/>
            <w:vAlign w:val="center"/>
          </w:tcPr>
          <w:p w14:paraId="12548FCF">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w:t>
            </w:r>
          </w:p>
        </w:tc>
      </w:tr>
      <w:tr w14:paraId="3C674D7A">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0" w:type="auto"/>
            <w:vAlign w:val="center"/>
          </w:tcPr>
          <w:p w14:paraId="79F6C186">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2.6</w:t>
            </w:r>
          </w:p>
        </w:tc>
        <w:tc>
          <w:tcPr>
            <w:tcW w:w="0" w:type="auto"/>
            <w:vAlign w:val="center"/>
          </w:tcPr>
          <w:p w14:paraId="0A6B3E19">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智慧融合控制平台</w:t>
            </w:r>
          </w:p>
        </w:tc>
        <w:tc>
          <w:tcPr>
            <w:tcW w:w="0" w:type="auto"/>
            <w:shd w:val="clear" w:color="000000" w:fill="FFFFFF"/>
            <w:vAlign w:val="center"/>
          </w:tcPr>
          <w:p w14:paraId="4F3A07D8">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项号62.固定≥220V10A防脱落智能强电输出插座口≥8路，旁路输出插座≥1路，每路插座接口为新国标五孔插口，每路可扩展独立的无线控制开关，集成电源时序功能。可对每路输出的用电做分析；整机输出功率≥3.5KW，防雷防浪涌；</w:t>
            </w:r>
            <w:r>
              <w:rPr>
                <w:rFonts w:hint="eastAsia" w:ascii="宋体" w:hAnsi="宋体" w:eastAsia="宋体" w:cs="宋体"/>
                <w:color w:val="000000"/>
                <w:kern w:val="0"/>
                <w:sz w:val="20"/>
                <w:szCs w:val="20"/>
                <w:highlight w:val="none"/>
              </w:rPr>
              <w:br w:type="textWrapping"/>
            </w:r>
            <w:r>
              <w:rPr>
                <w:rFonts w:ascii="宋体" w:hAnsi="宋体" w:cs="宋体"/>
                <w:color w:val="000000" w:themeColor="text1"/>
                <w:kern w:val="0"/>
                <w:highlight w:val="none"/>
                <w14:textFill>
                  <w14:solidFill>
                    <w14:schemeClr w14:val="tx1"/>
                  </w14:solidFill>
                </w14:textFill>
              </w:rPr>
              <w:t>▲</w:t>
            </w:r>
            <w:r>
              <w:rPr>
                <w:rFonts w:hint="eastAsia" w:ascii="宋体" w:hAnsi="宋体" w:eastAsia="宋体" w:cs="宋体"/>
                <w:color w:val="000000"/>
                <w:kern w:val="0"/>
                <w:sz w:val="20"/>
                <w:szCs w:val="20"/>
                <w:highlight w:val="none"/>
              </w:rPr>
              <w:t>项号63.设备主机已集成智慧电能管理系统，支持电流、电压、功率以及温度的条件限定，实现设备对用电的过流、过压、过载、过温的实时保护，可实时本机查询各端口用电实时数据，实现所有输出线路的用电安全智能化管理；（前述技术参数均须在投标文件中提供第三方检测机构出具的具有CMA或CNAS标识的有效检测报告复印件进行佐证)</w:t>
            </w:r>
            <w:r>
              <w:rPr>
                <w:rFonts w:hint="eastAsia" w:ascii="宋体" w:hAnsi="宋体" w:eastAsia="宋体" w:cs="宋体"/>
                <w:color w:val="000000"/>
                <w:kern w:val="0"/>
                <w:sz w:val="20"/>
                <w:szCs w:val="20"/>
                <w:highlight w:val="none"/>
              </w:rPr>
              <w:br w:type="textWrapping"/>
            </w:r>
            <w:r>
              <w:rPr>
                <w:rFonts w:hint="eastAsia" w:ascii="宋体" w:hAnsi="宋体" w:eastAsia="宋体" w:cs="宋体"/>
                <w:color w:val="000000"/>
                <w:kern w:val="0"/>
                <w:sz w:val="20"/>
                <w:szCs w:val="20"/>
                <w:highlight w:val="none"/>
              </w:rPr>
              <w:t xml:space="preserve">项号64.具备≥8个1000M以太网RJ45网络接口、≥1个SFP插槽、≥1路独立RJ45（用于485通讯）、≥1路TYPE-C接口、物联网IO口 ≥2个（提供该设备以上端口实物照片），可外接空调红外控制模块。可外接温度、湿度的采集模块，可外接智能插座红外遥控器控制； </w:t>
            </w:r>
          </w:p>
          <w:p w14:paraId="004BBD3E">
            <w:pPr>
              <w:widowControl/>
              <w:spacing w:line="240" w:lineRule="auto"/>
              <w:ind w:firstLine="0" w:firstLineChars="0"/>
              <w:jc w:val="left"/>
              <w:rPr>
                <w:rFonts w:hint="eastAsia" w:ascii="宋体" w:hAnsi="宋体" w:eastAsia="宋体" w:cs="宋体"/>
                <w:color w:val="000000"/>
                <w:kern w:val="0"/>
                <w:sz w:val="20"/>
                <w:szCs w:val="20"/>
                <w:highlight w:val="none"/>
              </w:rPr>
            </w:pPr>
            <w:r>
              <w:rPr>
                <w:rFonts w:ascii="宋体" w:hAnsi="宋体" w:cs="宋体"/>
                <w:color w:val="000000" w:themeColor="text1"/>
                <w:kern w:val="0"/>
                <w:highlight w:val="none"/>
                <w14:textFill>
                  <w14:solidFill>
                    <w14:schemeClr w14:val="tx1"/>
                  </w14:solidFill>
                </w14:textFill>
              </w:rPr>
              <w:t>▲</w:t>
            </w:r>
            <w:r>
              <w:rPr>
                <w:rFonts w:hint="eastAsia" w:ascii="宋体" w:hAnsi="宋体" w:eastAsia="宋体" w:cs="宋体"/>
                <w:color w:val="000000"/>
                <w:kern w:val="0"/>
                <w:sz w:val="20"/>
                <w:szCs w:val="20"/>
                <w:highlight w:val="none"/>
              </w:rPr>
              <w:t>项号65.输入电压监测：电压、电流、功率总阀值设置、≥8个智能插座电压、电流、功率的独立阀值设置; ≥8个智能插座端口阀值联动管理：电压、电流、功率阀值触发联动空调、智能断路器、智能照明控制系统的启停功能; 可查询接入设备运行日志功能、实时查询设备的用电情况：可以选择年月日时的电压、电流、功率及电能使用情况。（前述技术参数均须在投标文件中提供第三方检测机构出具的具有CMA或CNAS标识的有效检测报告复印件进行佐证)</w:t>
            </w:r>
          </w:p>
        </w:tc>
        <w:tc>
          <w:tcPr>
            <w:tcW w:w="0" w:type="auto"/>
            <w:vAlign w:val="center"/>
          </w:tcPr>
          <w:p w14:paraId="74A7A9D8">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0" w:type="auto"/>
            <w:vAlign w:val="center"/>
          </w:tcPr>
          <w:p w14:paraId="5F2BB7C2">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台</w:t>
            </w:r>
          </w:p>
        </w:tc>
        <w:tc>
          <w:tcPr>
            <w:tcW w:w="0" w:type="auto"/>
            <w:vAlign w:val="center"/>
          </w:tcPr>
          <w:p w14:paraId="2B35721B">
            <w:pPr>
              <w:widowControl/>
              <w:spacing w:line="240" w:lineRule="auto"/>
              <w:ind w:firstLine="0" w:firstLineChars="0"/>
              <w:jc w:val="center"/>
              <w:rPr>
                <w:rFonts w:hint="eastAsia" w:ascii="宋体" w:hAnsi="宋体" w:eastAsia="宋体" w:cs="宋体"/>
                <w:color w:val="000000"/>
                <w:kern w:val="0"/>
                <w:sz w:val="20"/>
                <w:szCs w:val="20"/>
                <w:highlight w:val="none"/>
              </w:rPr>
            </w:pPr>
          </w:p>
        </w:tc>
      </w:tr>
      <w:tr w14:paraId="12969EF2">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0" w:type="auto"/>
            <w:vAlign w:val="center"/>
          </w:tcPr>
          <w:p w14:paraId="621408BA">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2.7</w:t>
            </w:r>
          </w:p>
        </w:tc>
        <w:tc>
          <w:tcPr>
            <w:tcW w:w="0" w:type="auto"/>
            <w:vAlign w:val="center"/>
          </w:tcPr>
          <w:p w14:paraId="359FA562">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六类非屏蔽双绞线</w:t>
            </w:r>
          </w:p>
        </w:tc>
        <w:tc>
          <w:tcPr>
            <w:tcW w:w="0" w:type="auto"/>
            <w:shd w:val="clear" w:color="000000" w:fill="FFFFFF"/>
            <w:vAlign w:val="center"/>
          </w:tcPr>
          <w:p w14:paraId="489863F6">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项号66.最高传输频率≥250MHz，额定传输速率≥68%；</w:t>
            </w:r>
          </w:p>
          <w:p w14:paraId="193FB986">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项号67.线对采用“十”字骨架隔离，护套材料：PVC；</w:t>
            </w:r>
          </w:p>
          <w:p w14:paraId="3CBD0566">
            <w:pPr>
              <w:widowControl/>
              <w:spacing w:line="240" w:lineRule="auto"/>
              <w:ind w:firstLine="0" w:firstLineChars="0"/>
              <w:jc w:val="left"/>
              <w:rPr>
                <w:rFonts w:hint="eastAsia" w:ascii="宋体" w:hAnsi="宋体" w:eastAsia="宋体" w:cs="宋体"/>
                <w:color w:val="000000"/>
                <w:kern w:val="0"/>
                <w:sz w:val="20"/>
                <w:szCs w:val="20"/>
                <w:highlight w:val="none"/>
              </w:rPr>
            </w:pPr>
            <w:r>
              <w:rPr>
                <w:rFonts w:ascii="宋体" w:hAnsi="宋体" w:cs="宋体"/>
                <w:color w:val="000000" w:themeColor="text1"/>
                <w:kern w:val="0"/>
                <w:highlight w:val="none"/>
                <w14:textFill>
                  <w14:solidFill>
                    <w14:schemeClr w14:val="tx1"/>
                  </w14:solidFill>
                </w14:textFill>
              </w:rPr>
              <w:t>▲</w:t>
            </w:r>
            <w:r>
              <w:rPr>
                <w:rFonts w:hint="eastAsia" w:ascii="宋体" w:hAnsi="宋体" w:eastAsia="宋体" w:cs="宋体"/>
                <w:color w:val="000000"/>
                <w:kern w:val="0"/>
                <w:sz w:val="20"/>
                <w:szCs w:val="20"/>
                <w:highlight w:val="none"/>
              </w:rPr>
              <w:t>项号68.六类非屏蔽信道供电设备输出功率≥103W，终端设备输入功率≥90W，吞吐量满足双向≥1000Mbit/S，侦丢失率满足0.00%。（前述技术参数均须在投标文件中提供第三方检测机构出具的具有CMA或CNAS标识的有效检测报告复印件进行佐证)</w:t>
            </w:r>
          </w:p>
        </w:tc>
        <w:tc>
          <w:tcPr>
            <w:tcW w:w="0" w:type="auto"/>
            <w:vAlign w:val="center"/>
          </w:tcPr>
          <w:p w14:paraId="3A84EAFA">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w:t>
            </w:r>
          </w:p>
        </w:tc>
        <w:tc>
          <w:tcPr>
            <w:tcW w:w="0" w:type="auto"/>
            <w:vAlign w:val="center"/>
          </w:tcPr>
          <w:p w14:paraId="18375941">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箱</w:t>
            </w:r>
          </w:p>
        </w:tc>
        <w:tc>
          <w:tcPr>
            <w:tcW w:w="0" w:type="auto"/>
            <w:vAlign w:val="center"/>
          </w:tcPr>
          <w:p w14:paraId="1E67E3B0">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w:t>
            </w:r>
          </w:p>
        </w:tc>
      </w:tr>
      <w:tr w14:paraId="615FF36F">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0" w:type="auto"/>
            <w:vAlign w:val="center"/>
          </w:tcPr>
          <w:p w14:paraId="375C72BF">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2.8</w:t>
            </w:r>
          </w:p>
        </w:tc>
        <w:tc>
          <w:tcPr>
            <w:tcW w:w="0" w:type="auto"/>
            <w:vAlign w:val="center"/>
          </w:tcPr>
          <w:p w14:paraId="70AAD224">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监控主干电源线</w:t>
            </w:r>
          </w:p>
        </w:tc>
        <w:tc>
          <w:tcPr>
            <w:tcW w:w="0" w:type="auto"/>
            <w:shd w:val="clear" w:color="000000" w:fill="FFFFFF"/>
            <w:vAlign w:val="center"/>
          </w:tcPr>
          <w:p w14:paraId="644C973A">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项号69.规格≥RVV3*1.5</w:t>
            </w:r>
          </w:p>
        </w:tc>
        <w:tc>
          <w:tcPr>
            <w:tcW w:w="0" w:type="auto"/>
            <w:vAlign w:val="center"/>
          </w:tcPr>
          <w:p w14:paraId="6952787D">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0" w:type="auto"/>
            <w:vAlign w:val="center"/>
          </w:tcPr>
          <w:p w14:paraId="1BE54D3F">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捆</w:t>
            </w:r>
          </w:p>
        </w:tc>
        <w:tc>
          <w:tcPr>
            <w:tcW w:w="0" w:type="auto"/>
            <w:vAlign w:val="center"/>
          </w:tcPr>
          <w:p w14:paraId="46D12AB3">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w:t>
            </w:r>
          </w:p>
        </w:tc>
      </w:tr>
      <w:tr w14:paraId="548DCC34">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0" w:type="auto"/>
            <w:vAlign w:val="center"/>
          </w:tcPr>
          <w:p w14:paraId="390AE46F">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2.9</w:t>
            </w:r>
          </w:p>
        </w:tc>
        <w:tc>
          <w:tcPr>
            <w:tcW w:w="0" w:type="auto"/>
            <w:vAlign w:val="center"/>
          </w:tcPr>
          <w:p w14:paraId="71EA3A82">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PVC20管</w:t>
            </w:r>
          </w:p>
        </w:tc>
        <w:tc>
          <w:tcPr>
            <w:tcW w:w="0" w:type="auto"/>
            <w:shd w:val="clear" w:color="000000" w:fill="FFFFFF"/>
            <w:vAlign w:val="center"/>
          </w:tcPr>
          <w:p w14:paraId="41D3724E">
            <w:pPr>
              <w:widowControl/>
              <w:spacing w:line="240" w:lineRule="auto"/>
              <w:ind w:firstLine="0" w:firstLineChars="0"/>
              <w:jc w:val="lef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项号70.规格≥DN20，材质PVC线管；</w:t>
            </w:r>
          </w:p>
        </w:tc>
        <w:tc>
          <w:tcPr>
            <w:tcW w:w="0" w:type="auto"/>
            <w:vAlign w:val="center"/>
          </w:tcPr>
          <w:p w14:paraId="67D4F586">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260</w:t>
            </w:r>
          </w:p>
        </w:tc>
        <w:tc>
          <w:tcPr>
            <w:tcW w:w="0" w:type="auto"/>
            <w:vAlign w:val="center"/>
          </w:tcPr>
          <w:p w14:paraId="6FDBF1B0">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米</w:t>
            </w:r>
          </w:p>
        </w:tc>
        <w:tc>
          <w:tcPr>
            <w:tcW w:w="0" w:type="auto"/>
            <w:vAlign w:val="center"/>
          </w:tcPr>
          <w:p w14:paraId="63D3EF3C">
            <w:pPr>
              <w:widowControl/>
              <w:spacing w:line="240" w:lineRule="auto"/>
              <w:ind w:firstLine="0" w:firstLineChars="0"/>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w:t>
            </w:r>
          </w:p>
        </w:tc>
      </w:tr>
    </w:tbl>
    <w:p w14:paraId="6F63BCFC">
      <w:pPr>
        <w:pStyle w:val="19"/>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Theme="majorEastAsia" w:hAnsiTheme="majorEastAsia" w:eastAsiaTheme="majorEastAsia" w:cstheme="majorEastAsia"/>
          <w:b w:val="0"/>
          <w:bCs/>
          <w:sz w:val="24"/>
          <w:szCs w:val="24"/>
          <w:highlight w:val="none"/>
          <w:lang w:val="en-US" w:eastAsia="zh-CN"/>
        </w:rPr>
      </w:pPr>
      <w:r>
        <w:rPr>
          <w:rFonts w:hint="eastAsia" w:asciiTheme="majorEastAsia" w:hAnsiTheme="majorEastAsia" w:eastAsiaTheme="majorEastAsia" w:cstheme="majorEastAsia"/>
          <w:b/>
          <w:sz w:val="28"/>
          <w:szCs w:val="28"/>
          <w:highlight w:val="none"/>
          <w:lang w:val="en-US" w:eastAsia="zh-CN"/>
        </w:rPr>
        <w:t>三、</w:t>
      </w:r>
      <w:r>
        <w:rPr>
          <w:rFonts w:hint="eastAsia" w:asciiTheme="majorEastAsia" w:hAnsiTheme="majorEastAsia" w:eastAsiaTheme="majorEastAsia" w:cstheme="majorEastAsia"/>
          <w:b/>
          <w:sz w:val="28"/>
          <w:szCs w:val="28"/>
          <w:highlight w:val="none"/>
        </w:rPr>
        <w:t>评分方式：</w:t>
      </w:r>
    </w:p>
    <w:p w14:paraId="4F5E0C80">
      <w:pPr>
        <w:spacing w:line="480" w:lineRule="exact"/>
        <w:rPr>
          <w:rFonts w:hint="eastAsia" w:asciiTheme="majorEastAsia" w:hAnsiTheme="majorEastAsia" w:eastAsiaTheme="majorEastAsia" w:cstheme="majorEastAsia"/>
          <w:b w:val="0"/>
          <w:bCs/>
          <w:sz w:val="24"/>
          <w:szCs w:val="24"/>
          <w:highlight w:val="none"/>
          <w:lang w:val="en-US" w:eastAsia="zh-CN"/>
        </w:rPr>
      </w:pPr>
      <w:r>
        <w:rPr>
          <w:rFonts w:hint="eastAsia" w:asciiTheme="majorEastAsia" w:hAnsiTheme="majorEastAsia" w:eastAsiaTheme="majorEastAsia" w:cstheme="majorEastAsia"/>
          <w:b w:val="0"/>
          <w:bCs/>
          <w:sz w:val="24"/>
          <w:szCs w:val="24"/>
          <w:highlight w:val="none"/>
          <w:lang w:val="en-US" w:eastAsia="zh-CN"/>
        </w:rPr>
        <w:t>①价格项（F1×A1）满分为30分。</w:t>
      </w:r>
    </w:p>
    <w:p w14:paraId="46B2B6B4">
      <w:pPr>
        <w:spacing w:line="480" w:lineRule="exact"/>
        <w:rPr>
          <w:rFonts w:hint="eastAsia" w:asciiTheme="majorEastAsia" w:hAnsiTheme="majorEastAsia" w:eastAsiaTheme="majorEastAsia" w:cstheme="majorEastAsia"/>
          <w:b w:val="0"/>
          <w:bCs/>
          <w:sz w:val="24"/>
          <w:szCs w:val="24"/>
          <w:highlight w:val="none"/>
          <w:lang w:val="en-US" w:eastAsia="zh-CN"/>
        </w:rPr>
      </w:pPr>
      <w:r>
        <w:rPr>
          <w:rFonts w:hint="eastAsia" w:asciiTheme="majorEastAsia" w:hAnsiTheme="majorEastAsia" w:eastAsiaTheme="majorEastAsia" w:cstheme="majorEastAsia"/>
          <w:b w:val="0"/>
          <w:bCs/>
          <w:sz w:val="24"/>
          <w:szCs w:val="24"/>
          <w:highlight w:val="none"/>
          <w:lang w:val="en-US" w:eastAsia="zh-CN"/>
        </w:rPr>
        <w:t>a.价格分采用低价优先法计算，即满足招标文件要求且投标价格最低的投标报价为评标基准价，其价格分为满分。其他投标人的价格分统一按照下列公式计算：投标报价得分=（评标基准价／投标报价）×100。因落实政府采购政策需进行价格扣除的，以扣除后的价格计算评标基准价和投标报价。</w:t>
      </w:r>
    </w:p>
    <w:p w14:paraId="7F626BC5">
      <w:pPr>
        <w:spacing w:line="480" w:lineRule="exact"/>
        <w:rPr>
          <w:rFonts w:hint="eastAsia" w:asciiTheme="majorEastAsia" w:hAnsiTheme="majorEastAsia" w:eastAsiaTheme="majorEastAsia" w:cstheme="majorEastAsia"/>
          <w:b w:val="0"/>
          <w:bCs/>
          <w:sz w:val="24"/>
          <w:szCs w:val="24"/>
          <w:highlight w:val="none"/>
          <w:lang w:val="en-US" w:eastAsia="zh-CN"/>
        </w:rPr>
      </w:pPr>
      <w:r>
        <w:rPr>
          <w:rFonts w:hint="eastAsia" w:asciiTheme="majorEastAsia" w:hAnsiTheme="majorEastAsia" w:eastAsiaTheme="majorEastAsia" w:cstheme="majorEastAsia"/>
          <w:b w:val="0"/>
          <w:bCs/>
          <w:sz w:val="24"/>
          <w:szCs w:val="24"/>
          <w:highlight w:val="none"/>
          <w:lang w:val="en-US" w:eastAsia="zh-CN"/>
        </w:rPr>
        <w:t>②技术项（F2×A2）满分为60分。</w:t>
      </w:r>
    </w:p>
    <w:tbl>
      <w:tblPr>
        <w:tblStyle w:val="22"/>
        <w:tblW w:w="8364" w:type="dxa"/>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fixed"/>
        <w:tblCellMar>
          <w:top w:w="0" w:type="dxa"/>
          <w:left w:w="0" w:type="dxa"/>
          <w:bottom w:w="0" w:type="dxa"/>
          <w:right w:w="0" w:type="dxa"/>
        </w:tblCellMar>
      </w:tblPr>
      <w:tblGrid>
        <w:gridCol w:w="1148"/>
        <w:gridCol w:w="606"/>
        <w:gridCol w:w="6610"/>
      </w:tblGrid>
      <w:tr w14:paraId="0F415D5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rPr>
          <w:tblHeader/>
        </w:trPr>
        <w:tc>
          <w:tcPr>
            <w:tcW w:w="1148"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680313C7">
            <w:pPr>
              <w:spacing w:line="240" w:lineRule="auto"/>
              <w:ind w:firstLine="0" w:firstLineChars="0"/>
              <w:jc w:val="center"/>
              <w:rPr>
                <w:color w:val="000000"/>
                <w:highlight w:val="none"/>
              </w:rPr>
            </w:pPr>
            <w:r>
              <w:rPr>
                <w:color w:val="000000"/>
                <w:highlight w:val="none"/>
              </w:rPr>
              <w:t>评标项目</w:t>
            </w:r>
          </w:p>
        </w:tc>
        <w:tc>
          <w:tcPr>
            <w:tcW w:w="606"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591AAB42">
            <w:pPr>
              <w:spacing w:line="240" w:lineRule="auto"/>
              <w:ind w:firstLine="0" w:firstLineChars="0"/>
              <w:jc w:val="center"/>
              <w:rPr>
                <w:color w:val="000000"/>
                <w:highlight w:val="none"/>
              </w:rPr>
            </w:pPr>
            <w:r>
              <w:rPr>
                <w:color w:val="000000"/>
                <w:highlight w:val="none"/>
              </w:rPr>
              <w:t>评标分值</w:t>
            </w:r>
          </w:p>
        </w:tc>
        <w:tc>
          <w:tcPr>
            <w:tcW w:w="6610"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6F28E761">
            <w:pPr>
              <w:spacing w:line="240" w:lineRule="auto"/>
              <w:ind w:firstLine="0" w:firstLineChars="0"/>
              <w:jc w:val="center"/>
              <w:rPr>
                <w:color w:val="000000"/>
                <w:highlight w:val="none"/>
              </w:rPr>
            </w:pPr>
            <w:r>
              <w:rPr>
                <w:color w:val="000000"/>
                <w:highlight w:val="none"/>
              </w:rPr>
              <w:t>评标方法描述</w:t>
            </w:r>
          </w:p>
        </w:tc>
      </w:tr>
      <w:tr w14:paraId="4E1DD3F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1148"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59A78CA1">
            <w:pPr>
              <w:pStyle w:val="54"/>
              <w:spacing w:before="120" w:after="12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技术和服务要求响应情况</w:t>
            </w:r>
          </w:p>
        </w:tc>
        <w:tc>
          <w:tcPr>
            <w:tcW w:w="606"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0BCAE025">
            <w:pPr>
              <w:pStyle w:val="54"/>
              <w:spacing w:before="120" w:after="12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54</w:t>
            </w:r>
          </w:p>
        </w:tc>
        <w:tc>
          <w:tcPr>
            <w:tcW w:w="6610"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0105B540">
            <w:pPr>
              <w:pStyle w:val="54"/>
              <w:rPr>
                <w:rFonts w:hint="eastAsia" w:ascii="宋体" w:hAnsi="宋体" w:cs="宋体"/>
                <w:color w:val="000000" w:themeColor="text1"/>
                <w:kern w:val="0"/>
                <w:sz w:val="24"/>
                <w:highlight w:val="none"/>
                <w14:textFill>
                  <w14:solidFill>
                    <w14:schemeClr w14:val="tx1"/>
                  </w14:solidFill>
                </w14:textFill>
              </w:rPr>
            </w:pPr>
            <w:r>
              <w:rPr>
                <w:rFonts w:ascii="宋体" w:hAnsi="宋体" w:cs="宋体"/>
                <w:color w:val="000000" w:themeColor="text1"/>
                <w:kern w:val="0"/>
                <w:sz w:val="24"/>
                <w:highlight w:val="none"/>
                <w14:textFill>
                  <w14:solidFill>
                    <w14:schemeClr w14:val="tx1"/>
                  </w14:solidFill>
                </w14:textFill>
              </w:rPr>
              <w:t>评委根据投标人对第五章招标内容及要求中“二、技术和服务要求”的逐项响应承诺情况进行评分（需提供技术和服务要求响应表），投标人所投产品全部满足招标文件第五章招标内容及要求中“技术和服务要求”的得</w:t>
            </w:r>
            <w:r>
              <w:rPr>
                <w:rFonts w:hint="eastAsia" w:ascii="宋体" w:hAnsi="宋体" w:cs="宋体"/>
                <w:color w:val="000000" w:themeColor="text1"/>
                <w:kern w:val="0"/>
                <w:sz w:val="24"/>
                <w:highlight w:val="none"/>
                <w14:textFill>
                  <w14:solidFill>
                    <w14:schemeClr w14:val="tx1"/>
                  </w14:solidFill>
                </w14:textFill>
              </w:rPr>
              <w:t>54</w:t>
            </w:r>
            <w:r>
              <w:rPr>
                <w:rFonts w:ascii="宋体" w:hAnsi="宋体" w:cs="宋体"/>
                <w:color w:val="000000" w:themeColor="text1"/>
                <w:kern w:val="0"/>
                <w:sz w:val="24"/>
                <w:highlight w:val="none"/>
                <w14:textFill>
                  <w14:solidFill>
                    <w14:schemeClr w14:val="tx1"/>
                  </w14:solidFill>
                </w14:textFill>
              </w:rPr>
              <w:t>分；其中：</w:t>
            </w:r>
          </w:p>
          <w:p w14:paraId="53070881">
            <w:pPr>
              <w:pStyle w:val="54"/>
              <w:rPr>
                <w:rFonts w:hint="eastAsia" w:ascii="宋体" w:hAnsi="宋体" w:cs="宋体"/>
                <w:color w:val="000000" w:themeColor="text1"/>
                <w:kern w:val="0"/>
                <w:sz w:val="24"/>
                <w:highlight w:val="none"/>
                <w14:textFill>
                  <w14:solidFill>
                    <w14:schemeClr w14:val="tx1"/>
                  </w14:solidFill>
                </w14:textFill>
              </w:rPr>
            </w:pPr>
            <w:r>
              <w:rPr>
                <w:rFonts w:ascii="宋体" w:hAnsi="宋体" w:cs="宋体"/>
                <w:color w:val="000000" w:themeColor="text1"/>
                <w:kern w:val="0"/>
                <w:sz w:val="24"/>
                <w:highlight w:val="none"/>
                <w14:textFill>
                  <w14:solidFill>
                    <w14:schemeClr w14:val="tx1"/>
                  </w14:solidFill>
                </w14:textFill>
              </w:rPr>
              <w:t>（1）标注“★”号的技术参数为不允许负偏离的实质性条款，出现负偏离按无效投标处理</w:t>
            </w:r>
            <w:r>
              <w:rPr>
                <w:rFonts w:hint="eastAsia" w:ascii="宋体" w:hAnsi="宋体" w:cs="宋体"/>
                <w:color w:val="000000" w:themeColor="text1"/>
                <w:kern w:val="0"/>
                <w:sz w:val="24"/>
                <w:highlight w:val="none"/>
                <w14:textFill>
                  <w14:solidFill>
                    <w14:schemeClr w14:val="tx1"/>
                  </w14:solidFill>
                </w14:textFill>
              </w:rPr>
              <w:t>；</w:t>
            </w:r>
          </w:p>
          <w:p w14:paraId="4FDE15CE">
            <w:pPr>
              <w:pStyle w:val="54"/>
              <w:rPr>
                <w:rFonts w:hint="eastAsia" w:ascii="宋体" w:hAnsi="宋体" w:cs="宋体"/>
                <w:color w:val="000000" w:themeColor="text1"/>
                <w:kern w:val="0"/>
                <w:sz w:val="24"/>
                <w:highlight w:val="none"/>
                <w14:textFill>
                  <w14:solidFill>
                    <w14:schemeClr w14:val="tx1"/>
                  </w14:solidFill>
                </w14:textFill>
              </w:rPr>
            </w:pPr>
            <w:r>
              <w:rPr>
                <w:rFonts w:ascii="宋体" w:hAnsi="宋体" w:cs="宋体"/>
                <w:color w:val="000000" w:themeColor="text1"/>
                <w:kern w:val="0"/>
                <w:sz w:val="24"/>
                <w:highlight w:val="none"/>
                <w14:textFill>
                  <w14:solidFill>
                    <w14:schemeClr w14:val="tx1"/>
                  </w14:solidFill>
                </w14:textFill>
              </w:rPr>
              <w:t>（2）标注“▲”号的技术参数全部满足招标文件要求的得30分，每负偏离一项扣3分（共计10项）；</w:t>
            </w:r>
          </w:p>
          <w:p w14:paraId="15F75615">
            <w:pPr>
              <w:pStyle w:val="54"/>
              <w:rPr>
                <w:rFonts w:hint="eastAsia" w:ascii="宋体" w:hAnsi="宋体" w:cs="宋体"/>
                <w:color w:val="000000" w:themeColor="text1"/>
                <w:kern w:val="0"/>
                <w:sz w:val="24"/>
                <w:highlight w:val="none"/>
                <w14:textFill>
                  <w14:solidFill>
                    <w14:schemeClr w14:val="tx1"/>
                  </w14:solidFill>
                </w14:textFill>
              </w:rPr>
            </w:pPr>
            <w:r>
              <w:rPr>
                <w:rFonts w:ascii="宋体" w:hAnsi="宋体" w:cs="宋体"/>
                <w:color w:val="000000" w:themeColor="text1"/>
                <w:kern w:val="0"/>
                <w:sz w:val="24"/>
                <w:highlight w:val="none"/>
                <w14:textFill>
                  <w14:solidFill>
                    <w14:schemeClr w14:val="tx1"/>
                  </w14:solidFill>
                </w14:textFill>
              </w:rPr>
              <w:t>（3）其余未标注符号的技术参数，以每个项号为一项，每个项号内任意参数出现负偏离，视为整项负偏离，全部满足招标文件要求的得2</w:t>
            </w:r>
            <w:r>
              <w:rPr>
                <w:rFonts w:hint="eastAsia" w:ascii="宋体" w:hAnsi="宋体" w:cs="宋体"/>
                <w:color w:val="000000" w:themeColor="text1"/>
                <w:kern w:val="0"/>
                <w:sz w:val="24"/>
                <w:highlight w:val="none"/>
                <w14:textFill>
                  <w14:solidFill>
                    <w14:schemeClr w14:val="tx1"/>
                  </w14:solidFill>
                </w14:textFill>
              </w:rPr>
              <w:t>4</w:t>
            </w:r>
            <w:r>
              <w:rPr>
                <w:rFonts w:ascii="宋体" w:hAnsi="宋体" w:cs="宋体"/>
                <w:color w:val="000000" w:themeColor="text1"/>
                <w:kern w:val="0"/>
                <w:sz w:val="24"/>
                <w:highlight w:val="none"/>
                <w14:textFill>
                  <w14:solidFill>
                    <w14:schemeClr w14:val="tx1"/>
                  </w14:solidFill>
                </w14:textFill>
              </w:rPr>
              <w:t>分，每负偏离一项扣</w:t>
            </w:r>
            <w:r>
              <w:rPr>
                <w:rFonts w:hint="eastAsia" w:ascii="宋体" w:hAnsi="宋体" w:cs="宋体"/>
                <w:kern w:val="0"/>
                <w:sz w:val="24"/>
                <w:highlight w:val="none"/>
              </w:rPr>
              <w:t>0.</w:t>
            </w:r>
            <w:r>
              <w:rPr>
                <w:rFonts w:ascii="宋体" w:hAnsi="宋体" w:cs="宋体"/>
                <w:kern w:val="0"/>
                <w:sz w:val="24"/>
                <w:highlight w:val="none"/>
              </w:rPr>
              <w:t>4分（共计6</w:t>
            </w:r>
            <w:r>
              <w:rPr>
                <w:rFonts w:hint="eastAsia" w:ascii="宋体" w:hAnsi="宋体" w:cs="宋体"/>
                <w:kern w:val="0"/>
                <w:sz w:val="24"/>
                <w:highlight w:val="none"/>
              </w:rPr>
              <w:t>0</w:t>
            </w:r>
            <w:r>
              <w:rPr>
                <w:rFonts w:ascii="宋体" w:hAnsi="宋体" w:cs="宋体"/>
                <w:kern w:val="0"/>
                <w:sz w:val="24"/>
                <w:highlight w:val="none"/>
              </w:rPr>
              <w:t>项）</w:t>
            </w:r>
            <w:r>
              <w:rPr>
                <w:rFonts w:hint="eastAsia" w:ascii="宋体" w:hAnsi="宋体" w:cs="宋体"/>
                <w:color w:val="000000" w:themeColor="text1"/>
                <w:kern w:val="0"/>
                <w:sz w:val="24"/>
                <w:highlight w:val="none"/>
                <w14:textFill>
                  <w14:solidFill>
                    <w14:schemeClr w14:val="tx1"/>
                  </w14:solidFill>
                </w14:textFill>
              </w:rPr>
              <w:t>；</w:t>
            </w:r>
          </w:p>
          <w:p w14:paraId="4CAE19BA">
            <w:pPr>
              <w:pStyle w:val="54"/>
              <w:rPr>
                <w:rFonts w:hint="eastAsia" w:ascii="宋体" w:hAnsi="宋体" w:cs="宋体"/>
                <w:kern w:val="0"/>
                <w:sz w:val="24"/>
                <w:highlight w:val="none"/>
              </w:rPr>
            </w:pPr>
            <w:r>
              <w:rPr>
                <w:rFonts w:ascii="宋体" w:hAnsi="宋体" w:cs="宋体"/>
                <w:color w:val="000000" w:themeColor="text1"/>
                <w:kern w:val="0"/>
                <w:sz w:val="24"/>
                <w:highlight w:val="none"/>
                <w14:textFill>
                  <w14:solidFill>
                    <w14:schemeClr w14:val="tx1"/>
                  </w14:solidFill>
                </w14:textFill>
              </w:rPr>
              <w:t>（4）正偏离不加分，负偏离按以上评审标准进行评审，负偏离采取扣分的，分值扣完为止。投标服务的负偏离情况须在《技术和服务要求响应表》中列明，否则视为无效投标</w:t>
            </w:r>
            <w:r>
              <w:rPr>
                <w:rFonts w:hint="eastAsia" w:ascii="宋体" w:hAnsi="宋体" w:cs="宋体"/>
                <w:color w:val="000000" w:themeColor="text1"/>
                <w:kern w:val="0"/>
                <w:sz w:val="24"/>
                <w:highlight w:val="none"/>
                <w14:textFill>
                  <w14:solidFill>
                    <w14:schemeClr w14:val="tx1"/>
                  </w14:solidFill>
                </w14:textFill>
              </w:rPr>
              <w:t>。</w:t>
            </w:r>
          </w:p>
        </w:tc>
      </w:tr>
      <w:tr w14:paraId="28D452B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rPr>
          <w:trHeight w:val="1967" w:hRule="atLeast"/>
        </w:trPr>
        <w:tc>
          <w:tcPr>
            <w:tcW w:w="1148"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69591A3E">
            <w:pPr>
              <w:pStyle w:val="54"/>
              <w:spacing w:before="120" w:after="12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项目</w:t>
            </w:r>
            <w:r>
              <w:rPr>
                <w:rFonts w:hint="eastAsia" w:ascii="宋体" w:hAnsi="宋体" w:cs="宋体"/>
                <w:color w:val="000000" w:themeColor="text1"/>
                <w:sz w:val="24"/>
                <w:highlight w:val="none"/>
                <w14:textFill>
                  <w14:solidFill>
                    <w14:schemeClr w14:val="tx1"/>
                  </w14:solidFill>
                </w14:textFill>
              </w:rPr>
              <w:t>施工组织方案</w:t>
            </w:r>
          </w:p>
        </w:tc>
        <w:tc>
          <w:tcPr>
            <w:tcW w:w="606"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1A50BE3A">
            <w:pPr>
              <w:pStyle w:val="54"/>
              <w:spacing w:before="120" w:after="120"/>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6610" w:type="dxa"/>
            <w:tcBorders>
              <w:top w:val="single" w:color="666666" w:sz="6" w:space="0"/>
              <w:left w:val="single" w:color="666666" w:sz="6" w:space="0"/>
              <w:bottom w:val="single" w:color="666666" w:sz="6" w:space="0"/>
              <w:right w:val="single" w:color="666666" w:sz="6" w:space="0"/>
            </w:tcBorders>
            <w:shd w:val="clear" w:color="auto" w:fill="FFFFFF"/>
          </w:tcPr>
          <w:p w14:paraId="269E7AA8">
            <w:pPr>
              <w:pStyle w:val="54"/>
              <w:spacing w:before="120" w:after="12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根据投标人针对本项目的实际情况编制项目施工组织方案（包含：组织机构、项目进度计划与质量控制、项目配置管理及项目风险管理，共三个部分）进行评分，</w:t>
            </w:r>
            <w:r>
              <w:rPr>
                <w:rFonts w:ascii="宋体" w:hAnsi="宋体" w:cs="宋体"/>
                <w:color w:val="000000" w:themeColor="text1"/>
                <w:kern w:val="0"/>
                <w:sz w:val="24"/>
                <w:highlight w:val="none"/>
                <w14:textFill>
                  <w14:solidFill>
                    <w14:schemeClr w14:val="tx1"/>
                  </w14:solidFill>
                </w14:textFill>
              </w:rPr>
              <w:t>方案阐述完整，描述细致，包含上述</w:t>
            </w:r>
            <w:r>
              <w:rPr>
                <w:rFonts w:hint="eastAsia" w:ascii="宋体" w:hAnsi="宋体" w:cs="宋体"/>
                <w:color w:val="000000" w:themeColor="text1"/>
                <w:kern w:val="0"/>
                <w:sz w:val="24"/>
                <w:highlight w:val="none"/>
                <w14:textFill>
                  <w14:solidFill>
                    <w14:schemeClr w14:val="tx1"/>
                  </w14:solidFill>
                </w14:textFill>
              </w:rPr>
              <w:t>3</w:t>
            </w:r>
            <w:r>
              <w:rPr>
                <w:rFonts w:ascii="宋体" w:hAnsi="宋体" w:cs="宋体"/>
                <w:color w:val="000000" w:themeColor="text1"/>
                <w:kern w:val="0"/>
                <w:sz w:val="24"/>
                <w:highlight w:val="none"/>
                <w14:textFill>
                  <w14:solidFill>
                    <w14:schemeClr w14:val="tx1"/>
                  </w14:solidFill>
                </w14:textFill>
              </w:rPr>
              <w:t>个完整分项内容的得</w:t>
            </w:r>
            <w:r>
              <w:rPr>
                <w:rFonts w:hint="eastAsia" w:ascii="宋体" w:hAnsi="宋体" w:cs="宋体"/>
                <w:color w:val="000000" w:themeColor="text1"/>
                <w:kern w:val="0"/>
                <w:sz w:val="24"/>
                <w:highlight w:val="none"/>
                <w14:textFill>
                  <w14:solidFill>
                    <w14:schemeClr w14:val="tx1"/>
                  </w14:solidFill>
                </w14:textFill>
              </w:rPr>
              <w:t>3</w:t>
            </w:r>
            <w:r>
              <w:rPr>
                <w:rFonts w:ascii="宋体" w:hAnsi="宋体" w:cs="宋体"/>
                <w:color w:val="000000" w:themeColor="text1"/>
                <w:kern w:val="0"/>
                <w:sz w:val="24"/>
                <w:highlight w:val="none"/>
                <w14:textFill>
                  <w14:solidFill>
                    <w14:schemeClr w14:val="tx1"/>
                  </w14:solidFill>
                </w14:textFill>
              </w:rPr>
              <w:t>分，方案阐述较为完整，包含上述</w:t>
            </w:r>
            <w:r>
              <w:rPr>
                <w:rFonts w:hint="eastAsia" w:ascii="宋体" w:hAnsi="宋体" w:cs="宋体"/>
                <w:color w:val="000000" w:themeColor="text1"/>
                <w:kern w:val="0"/>
                <w:sz w:val="24"/>
                <w:highlight w:val="none"/>
                <w14:textFill>
                  <w14:solidFill>
                    <w14:schemeClr w14:val="tx1"/>
                  </w14:solidFill>
                </w14:textFill>
              </w:rPr>
              <w:t>3</w:t>
            </w:r>
            <w:r>
              <w:rPr>
                <w:rFonts w:ascii="宋体" w:hAnsi="宋体" w:cs="宋体"/>
                <w:color w:val="000000" w:themeColor="text1"/>
                <w:kern w:val="0"/>
                <w:sz w:val="24"/>
                <w:highlight w:val="none"/>
                <w14:textFill>
                  <w14:solidFill>
                    <w14:schemeClr w14:val="tx1"/>
                  </w14:solidFill>
                </w14:textFill>
              </w:rPr>
              <w:t>个完整分项内容的得</w:t>
            </w:r>
            <w:r>
              <w:rPr>
                <w:rFonts w:hint="eastAsia" w:ascii="宋体" w:hAnsi="宋体" w:cs="宋体"/>
                <w:color w:val="000000" w:themeColor="text1"/>
                <w:kern w:val="0"/>
                <w:sz w:val="24"/>
                <w:highlight w:val="none"/>
                <w14:textFill>
                  <w14:solidFill>
                    <w14:schemeClr w14:val="tx1"/>
                  </w14:solidFill>
                </w14:textFill>
              </w:rPr>
              <w:t>2</w:t>
            </w:r>
            <w:r>
              <w:rPr>
                <w:rFonts w:hint="eastAsia" w:ascii="宋体" w:hAnsi="宋体" w:cs="宋体"/>
                <w:color w:val="000000" w:themeColor="text1"/>
                <w:kern w:val="0"/>
                <w:sz w:val="24"/>
                <w:highlight w:val="none"/>
                <w:lang w:val="en-US" w:eastAsia="zh-CN"/>
                <w14:textFill>
                  <w14:solidFill>
                    <w14:schemeClr w14:val="tx1"/>
                  </w14:solidFill>
                </w14:textFill>
              </w:rPr>
              <w:t>.7</w:t>
            </w:r>
            <w:r>
              <w:rPr>
                <w:rFonts w:ascii="宋体" w:hAnsi="宋体" w:cs="宋体"/>
                <w:color w:val="000000" w:themeColor="text1"/>
                <w:kern w:val="0"/>
                <w:sz w:val="24"/>
                <w:highlight w:val="none"/>
                <w14:textFill>
                  <w14:solidFill>
                    <w14:schemeClr w14:val="tx1"/>
                  </w14:solidFill>
                </w14:textFill>
              </w:rPr>
              <w:t>分，方案阐述较为</w:t>
            </w:r>
            <w:r>
              <w:rPr>
                <w:rFonts w:hint="eastAsia" w:ascii="宋体" w:hAnsi="宋体" w:cs="宋体"/>
                <w:color w:val="000000" w:themeColor="text1"/>
                <w:kern w:val="0"/>
                <w:sz w:val="24"/>
                <w:highlight w:val="none"/>
                <w14:textFill>
                  <w14:solidFill>
                    <w14:schemeClr w14:val="tx1"/>
                  </w14:solidFill>
                </w14:textFill>
              </w:rPr>
              <w:t>一般</w:t>
            </w:r>
            <w:r>
              <w:rPr>
                <w:rFonts w:ascii="宋体" w:hAnsi="宋体" w:cs="宋体"/>
                <w:color w:val="000000" w:themeColor="text1"/>
                <w:kern w:val="0"/>
                <w:sz w:val="24"/>
                <w:highlight w:val="none"/>
                <w14:textFill>
                  <w14:solidFill>
                    <w14:schemeClr w14:val="tx1"/>
                  </w14:solidFill>
                </w14:textFill>
              </w:rPr>
              <w:t>，包含上述</w:t>
            </w:r>
            <w:r>
              <w:rPr>
                <w:rFonts w:hint="eastAsia" w:ascii="宋体" w:hAnsi="宋体" w:cs="宋体"/>
                <w:color w:val="000000" w:themeColor="text1"/>
                <w:kern w:val="0"/>
                <w:sz w:val="24"/>
                <w:highlight w:val="none"/>
                <w14:textFill>
                  <w14:solidFill>
                    <w14:schemeClr w14:val="tx1"/>
                  </w14:solidFill>
                </w14:textFill>
              </w:rPr>
              <w:t>3</w:t>
            </w:r>
            <w:r>
              <w:rPr>
                <w:rFonts w:ascii="宋体" w:hAnsi="宋体" w:cs="宋体"/>
                <w:color w:val="000000" w:themeColor="text1"/>
                <w:kern w:val="0"/>
                <w:sz w:val="24"/>
                <w:highlight w:val="none"/>
                <w14:textFill>
                  <w14:solidFill>
                    <w14:schemeClr w14:val="tx1"/>
                  </w14:solidFill>
                </w14:textFill>
              </w:rPr>
              <w:t>个完整分项内容的得</w:t>
            </w:r>
            <w:r>
              <w:rPr>
                <w:rFonts w:hint="eastAsia" w:ascii="宋体" w:hAnsi="宋体" w:cs="宋体"/>
                <w:color w:val="000000" w:themeColor="text1"/>
                <w:kern w:val="0"/>
                <w:sz w:val="24"/>
                <w:highlight w:val="none"/>
                <w:lang w:val="en-US" w:eastAsia="zh-CN"/>
                <w14:textFill>
                  <w14:solidFill>
                    <w14:schemeClr w14:val="tx1"/>
                  </w14:solidFill>
                </w14:textFill>
              </w:rPr>
              <w:t>2.4</w:t>
            </w:r>
            <w:r>
              <w:rPr>
                <w:rFonts w:ascii="宋体" w:hAnsi="宋体" w:cs="宋体"/>
                <w:color w:val="000000" w:themeColor="text1"/>
                <w:kern w:val="0"/>
                <w:sz w:val="24"/>
                <w:highlight w:val="none"/>
                <w14:textFill>
                  <w14:solidFill>
                    <w14:schemeClr w14:val="tx1"/>
                  </w14:solidFill>
                </w14:textFill>
              </w:rPr>
              <w:t>分，未提供</w:t>
            </w:r>
            <w:r>
              <w:rPr>
                <w:rFonts w:hint="eastAsia" w:ascii="宋体" w:hAnsi="宋体" w:cs="宋体"/>
                <w:color w:val="000000" w:themeColor="text1"/>
                <w:kern w:val="0"/>
                <w:sz w:val="24"/>
                <w:highlight w:val="none"/>
                <w14:textFill>
                  <w14:solidFill>
                    <w14:schemeClr w14:val="tx1"/>
                  </w14:solidFill>
                </w14:textFill>
              </w:rPr>
              <w:t>项目</w:t>
            </w:r>
            <w:r>
              <w:rPr>
                <w:rFonts w:hint="eastAsia" w:ascii="宋体" w:hAnsi="宋体" w:cs="宋体"/>
                <w:color w:val="000000" w:themeColor="text1"/>
                <w:sz w:val="24"/>
                <w:highlight w:val="none"/>
                <w14:textFill>
                  <w14:solidFill>
                    <w14:schemeClr w14:val="tx1"/>
                  </w14:solidFill>
                </w14:textFill>
              </w:rPr>
              <w:t>施工组织方案</w:t>
            </w:r>
            <w:r>
              <w:rPr>
                <w:rFonts w:ascii="宋体" w:hAnsi="宋体" w:cs="宋体"/>
                <w:color w:val="000000" w:themeColor="text1"/>
                <w:kern w:val="0"/>
                <w:sz w:val="24"/>
                <w:highlight w:val="none"/>
                <w14:textFill>
                  <w14:solidFill>
                    <w14:schemeClr w14:val="tx1"/>
                  </w14:solidFill>
                </w14:textFill>
              </w:rPr>
              <w:t>的</w:t>
            </w:r>
            <w:r>
              <w:rPr>
                <w:rFonts w:hint="eastAsia" w:ascii="宋体" w:hAnsi="宋体" w:cs="宋体"/>
                <w:color w:val="000000" w:themeColor="text1"/>
                <w:kern w:val="0"/>
                <w:sz w:val="24"/>
                <w:highlight w:val="none"/>
                <w14:textFill>
                  <w14:solidFill>
                    <w14:schemeClr w14:val="tx1"/>
                  </w14:solidFill>
                </w14:textFill>
              </w:rPr>
              <w:t>本项不得分</w:t>
            </w:r>
            <w:r>
              <w:rPr>
                <w:rFonts w:ascii="宋体" w:hAnsi="宋体" w:cs="宋体"/>
                <w:color w:val="000000" w:themeColor="text1"/>
                <w:kern w:val="0"/>
                <w:sz w:val="24"/>
                <w:highlight w:val="none"/>
                <w14:textFill>
                  <w14:solidFill>
                    <w14:schemeClr w14:val="tx1"/>
                  </w14:solidFill>
                </w14:textFill>
              </w:rPr>
              <w:t>。</w:t>
            </w:r>
          </w:p>
        </w:tc>
      </w:tr>
      <w:tr w14:paraId="3950795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c>
          <w:tcPr>
            <w:tcW w:w="1148"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74767F49">
            <w:pPr>
              <w:pStyle w:val="54"/>
              <w:spacing w:before="120" w:after="12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项目</w:t>
            </w:r>
            <w:r>
              <w:rPr>
                <w:rFonts w:hint="eastAsia" w:ascii="宋体" w:hAnsi="宋体" w:cs="宋体"/>
                <w:color w:val="000000" w:themeColor="text1"/>
                <w:sz w:val="24"/>
                <w:highlight w:val="none"/>
                <w14:textFill>
                  <w14:solidFill>
                    <w14:schemeClr w14:val="tx1"/>
                  </w14:solidFill>
                </w14:textFill>
              </w:rPr>
              <w:t>资源供应计划</w:t>
            </w:r>
          </w:p>
        </w:tc>
        <w:tc>
          <w:tcPr>
            <w:tcW w:w="606"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00FE0BEF">
            <w:pPr>
              <w:pStyle w:val="54"/>
              <w:spacing w:before="120" w:after="120"/>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6610" w:type="dxa"/>
            <w:tcBorders>
              <w:top w:val="single" w:color="666666" w:sz="6" w:space="0"/>
              <w:left w:val="single" w:color="666666" w:sz="6" w:space="0"/>
              <w:bottom w:val="single" w:color="666666" w:sz="6" w:space="0"/>
              <w:right w:val="single" w:color="666666" w:sz="6" w:space="0"/>
            </w:tcBorders>
            <w:shd w:val="clear" w:color="auto" w:fill="FFFFFF"/>
          </w:tcPr>
          <w:p w14:paraId="2D1C7F68">
            <w:pPr>
              <w:pStyle w:val="54"/>
              <w:spacing w:before="120" w:after="12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根据投标人针对本项目制定的资源供应计划情况（包含：针对本项目所涉及的劳动力供应计划；机械、设备、辅材、线缆的供应计划；资源管理计划、资源供应保障措施；共三部分）进行评分，</w:t>
            </w:r>
            <w:r>
              <w:rPr>
                <w:rFonts w:ascii="宋体" w:hAnsi="宋体" w:cs="宋体"/>
                <w:color w:val="000000" w:themeColor="text1"/>
                <w:kern w:val="0"/>
                <w:sz w:val="24"/>
                <w:highlight w:val="none"/>
                <w14:textFill>
                  <w14:solidFill>
                    <w14:schemeClr w14:val="tx1"/>
                  </w14:solidFill>
                </w14:textFill>
              </w:rPr>
              <w:t>方案阐述完整，描述细致，包含上述</w:t>
            </w:r>
            <w:r>
              <w:rPr>
                <w:rFonts w:hint="eastAsia" w:ascii="宋体" w:hAnsi="宋体" w:cs="宋体"/>
                <w:color w:val="000000" w:themeColor="text1"/>
                <w:kern w:val="0"/>
                <w:sz w:val="24"/>
                <w:highlight w:val="none"/>
                <w14:textFill>
                  <w14:solidFill>
                    <w14:schemeClr w14:val="tx1"/>
                  </w14:solidFill>
                </w14:textFill>
              </w:rPr>
              <w:t>3</w:t>
            </w:r>
            <w:r>
              <w:rPr>
                <w:rFonts w:ascii="宋体" w:hAnsi="宋体" w:cs="宋体"/>
                <w:color w:val="000000" w:themeColor="text1"/>
                <w:kern w:val="0"/>
                <w:sz w:val="24"/>
                <w:highlight w:val="none"/>
                <w14:textFill>
                  <w14:solidFill>
                    <w14:schemeClr w14:val="tx1"/>
                  </w14:solidFill>
                </w14:textFill>
              </w:rPr>
              <w:t>个完整分项内容的得</w:t>
            </w:r>
            <w:r>
              <w:rPr>
                <w:rFonts w:hint="eastAsia" w:ascii="宋体" w:hAnsi="宋体" w:cs="宋体"/>
                <w:color w:val="000000" w:themeColor="text1"/>
                <w:kern w:val="0"/>
                <w:sz w:val="24"/>
                <w:highlight w:val="none"/>
                <w14:textFill>
                  <w14:solidFill>
                    <w14:schemeClr w14:val="tx1"/>
                  </w14:solidFill>
                </w14:textFill>
              </w:rPr>
              <w:t>3</w:t>
            </w:r>
            <w:r>
              <w:rPr>
                <w:rFonts w:ascii="宋体" w:hAnsi="宋体" w:cs="宋体"/>
                <w:color w:val="000000" w:themeColor="text1"/>
                <w:kern w:val="0"/>
                <w:sz w:val="24"/>
                <w:highlight w:val="none"/>
                <w14:textFill>
                  <w14:solidFill>
                    <w14:schemeClr w14:val="tx1"/>
                  </w14:solidFill>
                </w14:textFill>
              </w:rPr>
              <w:t>分，方案阐述较为完整，包含上述</w:t>
            </w:r>
            <w:r>
              <w:rPr>
                <w:rFonts w:hint="eastAsia" w:ascii="宋体" w:hAnsi="宋体" w:cs="宋体"/>
                <w:color w:val="000000" w:themeColor="text1"/>
                <w:kern w:val="0"/>
                <w:sz w:val="24"/>
                <w:highlight w:val="none"/>
                <w14:textFill>
                  <w14:solidFill>
                    <w14:schemeClr w14:val="tx1"/>
                  </w14:solidFill>
                </w14:textFill>
              </w:rPr>
              <w:t>3</w:t>
            </w:r>
            <w:r>
              <w:rPr>
                <w:rFonts w:ascii="宋体" w:hAnsi="宋体" w:cs="宋体"/>
                <w:color w:val="000000" w:themeColor="text1"/>
                <w:kern w:val="0"/>
                <w:sz w:val="24"/>
                <w:highlight w:val="none"/>
                <w14:textFill>
                  <w14:solidFill>
                    <w14:schemeClr w14:val="tx1"/>
                  </w14:solidFill>
                </w14:textFill>
              </w:rPr>
              <w:t>个完整分项内容的得</w:t>
            </w:r>
            <w:r>
              <w:rPr>
                <w:rFonts w:hint="eastAsia" w:ascii="宋体" w:hAnsi="宋体" w:cs="宋体"/>
                <w:color w:val="000000" w:themeColor="text1"/>
                <w:kern w:val="0"/>
                <w:sz w:val="24"/>
                <w:highlight w:val="none"/>
                <w14:textFill>
                  <w14:solidFill>
                    <w14:schemeClr w14:val="tx1"/>
                  </w14:solidFill>
                </w14:textFill>
              </w:rPr>
              <w:t>2</w:t>
            </w:r>
            <w:r>
              <w:rPr>
                <w:rFonts w:hint="eastAsia" w:ascii="宋体" w:hAnsi="宋体" w:cs="宋体"/>
                <w:color w:val="000000" w:themeColor="text1"/>
                <w:kern w:val="0"/>
                <w:sz w:val="24"/>
                <w:highlight w:val="none"/>
                <w:lang w:val="en-US" w:eastAsia="zh-CN"/>
                <w14:textFill>
                  <w14:solidFill>
                    <w14:schemeClr w14:val="tx1"/>
                  </w14:solidFill>
                </w14:textFill>
              </w:rPr>
              <w:t>.7</w:t>
            </w:r>
            <w:r>
              <w:rPr>
                <w:rFonts w:ascii="宋体" w:hAnsi="宋体" w:cs="宋体"/>
                <w:color w:val="000000" w:themeColor="text1"/>
                <w:kern w:val="0"/>
                <w:sz w:val="24"/>
                <w:highlight w:val="none"/>
                <w14:textFill>
                  <w14:solidFill>
                    <w14:schemeClr w14:val="tx1"/>
                  </w14:solidFill>
                </w14:textFill>
              </w:rPr>
              <w:t>分，方案阐述较为</w:t>
            </w:r>
            <w:r>
              <w:rPr>
                <w:rFonts w:hint="eastAsia" w:ascii="宋体" w:hAnsi="宋体" w:cs="宋体"/>
                <w:color w:val="000000" w:themeColor="text1"/>
                <w:kern w:val="0"/>
                <w:sz w:val="24"/>
                <w:highlight w:val="none"/>
                <w14:textFill>
                  <w14:solidFill>
                    <w14:schemeClr w14:val="tx1"/>
                  </w14:solidFill>
                </w14:textFill>
              </w:rPr>
              <w:t>一般</w:t>
            </w:r>
            <w:r>
              <w:rPr>
                <w:rFonts w:ascii="宋体" w:hAnsi="宋体" w:cs="宋体"/>
                <w:color w:val="000000" w:themeColor="text1"/>
                <w:kern w:val="0"/>
                <w:sz w:val="24"/>
                <w:highlight w:val="none"/>
                <w14:textFill>
                  <w14:solidFill>
                    <w14:schemeClr w14:val="tx1"/>
                  </w14:solidFill>
                </w14:textFill>
              </w:rPr>
              <w:t>，包含上述</w:t>
            </w:r>
            <w:r>
              <w:rPr>
                <w:rFonts w:hint="eastAsia" w:ascii="宋体" w:hAnsi="宋体" w:cs="宋体"/>
                <w:color w:val="000000" w:themeColor="text1"/>
                <w:kern w:val="0"/>
                <w:sz w:val="24"/>
                <w:highlight w:val="none"/>
                <w14:textFill>
                  <w14:solidFill>
                    <w14:schemeClr w14:val="tx1"/>
                  </w14:solidFill>
                </w14:textFill>
              </w:rPr>
              <w:t>3</w:t>
            </w:r>
            <w:r>
              <w:rPr>
                <w:rFonts w:ascii="宋体" w:hAnsi="宋体" w:cs="宋体"/>
                <w:color w:val="000000" w:themeColor="text1"/>
                <w:kern w:val="0"/>
                <w:sz w:val="24"/>
                <w:highlight w:val="none"/>
                <w14:textFill>
                  <w14:solidFill>
                    <w14:schemeClr w14:val="tx1"/>
                  </w14:solidFill>
                </w14:textFill>
              </w:rPr>
              <w:t>个完整分项内容的得</w:t>
            </w:r>
            <w:r>
              <w:rPr>
                <w:rFonts w:hint="eastAsia" w:ascii="宋体" w:hAnsi="宋体" w:cs="宋体"/>
                <w:color w:val="000000" w:themeColor="text1"/>
                <w:kern w:val="0"/>
                <w:sz w:val="24"/>
                <w:highlight w:val="none"/>
                <w:lang w:val="en-US" w:eastAsia="zh-CN"/>
                <w14:textFill>
                  <w14:solidFill>
                    <w14:schemeClr w14:val="tx1"/>
                  </w14:solidFill>
                </w14:textFill>
              </w:rPr>
              <w:t>2.4</w:t>
            </w:r>
            <w:r>
              <w:rPr>
                <w:rFonts w:ascii="宋体" w:hAnsi="宋体" w:cs="宋体"/>
                <w:color w:val="000000" w:themeColor="text1"/>
                <w:kern w:val="0"/>
                <w:sz w:val="24"/>
                <w:highlight w:val="none"/>
                <w14:textFill>
                  <w14:solidFill>
                    <w14:schemeClr w14:val="tx1"/>
                  </w14:solidFill>
                </w14:textFill>
              </w:rPr>
              <w:t>分，未提供</w:t>
            </w:r>
            <w:r>
              <w:rPr>
                <w:rFonts w:hint="eastAsia" w:ascii="宋体" w:hAnsi="宋体" w:cs="宋体"/>
                <w:color w:val="000000" w:themeColor="text1"/>
                <w:kern w:val="0"/>
                <w:sz w:val="24"/>
                <w:highlight w:val="none"/>
                <w14:textFill>
                  <w14:solidFill>
                    <w14:schemeClr w14:val="tx1"/>
                  </w14:solidFill>
                </w14:textFill>
              </w:rPr>
              <w:t>项目</w:t>
            </w:r>
            <w:r>
              <w:rPr>
                <w:rFonts w:hint="eastAsia" w:ascii="宋体" w:hAnsi="宋体" w:cs="宋体"/>
                <w:color w:val="000000" w:themeColor="text1"/>
                <w:sz w:val="24"/>
                <w:highlight w:val="none"/>
                <w14:textFill>
                  <w14:solidFill>
                    <w14:schemeClr w14:val="tx1"/>
                  </w14:solidFill>
                </w14:textFill>
              </w:rPr>
              <w:t>施工组织方案</w:t>
            </w:r>
            <w:r>
              <w:rPr>
                <w:rFonts w:ascii="宋体" w:hAnsi="宋体" w:cs="宋体"/>
                <w:color w:val="000000" w:themeColor="text1"/>
                <w:kern w:val="0"/>
                <w:sz w:val="24"/>
                <w:highlight w:val="none"/>
                <w14:textFill>
                  <w14:solidFill>
                    <w14:schemeClr w14:val="tx1"/>
                  </w14:solidFill>
                </w14:textFill>
              </w:rPr>
              <w:t>的</w:t>
            </w:r>
            <w:r>
              <w:rPr>
                <w:rFonts w:hint="eastAsia" w:ascii="宋体" w:hAnsi="宋体" w:cs="宋体"/>
                <w:color w:val="000000" w:themeColor="text1"/>
                <w:kern w:val="0"/>
                <w:sz w:val="24"/>
                <w:highlight w:val="none"/>
                <w14:textFill>
                  <w14:solidFill>
                    <w14:schemeClr w14:val="tx1"/>
                  </w14:solidFill>
                </w14:textFill>
              </w:rPr>
              <w:t>本项不得分</w:t>
            </w:r>
            <w:r>
              <w:rPr>
                <w:rFonts w:ascii="宋体" w:hAnsi="宋体" w:cs="宋体"/>
                <w:color w:val="000000" w:themeColor="text1"/>
                <w:kern w:val="0"/>
                <w:sz w:val="24"/>
                <w:highlight w:val="none"/>
                <w14:textFill>
                  <w14:solidFill>
                    <w14:schemeClr w14:val="tx1"/>
                  </w14:solidFill>
                </w14:textFill>
              </w:rPr>
              <w:t>。</w:t>
            </w:r>
          </w:p>
        </w:tc>
      </w:tr>
    </w:tbl>
    <w:p w14:paraId="464A348F">
      <w:pPr>
        <w:spacing w:line="480" w:lineRule="exact"/>
        <w:rPr>
          <w:rFonts w:hint="eastAsia" w:asciiTheme="majorEastAsia" w:hAnsiTheme="majorEastAsia" w:eastAsiaTheme="majorEastAsia" w:cstheme="majorEastAsia"/>
          <w:b w:val="0"/>
          <w:bCs/>
          <w:sz w:val="24"/>
          <w:szCs w:val="24"/>
          <w:highlight w:val="none"/>
          <w:lang w:val="en-US" w:eastAsia="zh-CN"/>
        </w:rPr>
      </w:pPr>
      <w:r>
        <w:rPr>
          <w:rFonts w:hint="eastAsia" w:asciiTheme="majorEastAsia" w:hAnsiTheme="majorEastAsia" w:eastAsiaTheme="majorEastAsia" w:cstheme="majorEastAsia"/>
          <w:b w:val="0"/>
          <w:bCs/>
          <w:sz w:val="24"/>
          <w:szCs w:val="24"/>
          <w:highlight w:val="none"/>
          <w:lang w:val="en-US" w:eastAsia="zh-CN"/>
        </w:rPr>
        <w:t>③商务项（F3×A3）满分为10分。</w:t>
      </w:r>
    </w:p>
    <w:tbl>
      <w:tblPr>
        <w:tblStyle w:val="22"/>
        <w:tblW w:w="8365" w:type="dxa"/>
        <w:tblInd w:w="0" w:type="dxa"/>
        <w:tblBorders>
          <w:top w:val="none" w:color="666666" w:sz="6" w:space="0"/>
          <w:left w:val="none" w:color="666666" w:sz="6" w:space="0"/>
          <w:bottom w:val="none" w:color="666666" w:sz="6" w:space="0"/>
          <w:right w:val="none" w:color="666666" w:sz="6" w:space="0"/>
          <w:insideH w:val="none" w:color="auto" w:sz="0" w:space="0"/>
          <w:insideV w:val="none" w:color="auto" w:sz="0" w:space="0"/>
        </w:tblBorders>
        <w:tblLayout w:type="fixed"/>
        <w:tblCellMar>
          <w:top w:w="0" w:type="dxa"/>
          <w:left w:w="0" w:type="dxa"/>
          <w:bottom w:w="0" w:type="dxa"/>
          <w:right w:w="0" w:type="dxa"/>
        </w:tblCellMar>
      </w:tblPr>
      <w:tblGrid>
        <w:gridCol w:w="1126"/>
        <w:gridCol w:w="567"/>
        <w:gridCol w:w="6672"/>
      </w:tblGrid>
      <w:tr w14:paraId="02C3DF4A">
        <w:tblPrEx>
          <w:tblBorders>
            <w:top w:val="none" w:color="666666" w:sz="6" w:space="0"/>
            <w:left w:val="none" w:color="666666" w:sz="6" w:space="0"/>
            <w:bottom w:val="none" w:color="666666" w:sz="6" w:space="0"/>
            <w:right w:val="none" w:color="666666" w:sz="6" w:space="0"/>
            <w:insideH w:val="none" w:color="auto" w:sz="0" w:space="0"/>
            <w:insideV w:val="none" w:color="auto" w:sz="0" w:space="0"/>
          </w:tblBorders>
          <w:tblCellMar>
            <w:top w:w="0" w:type="dxa"/>
            <w:left w:w="0" w:type="dxa"/>
            <w:bottom w:w="0" w:type="dxa"/>
            <w:right w:w="0" w:type="dxa"/>
          </w:tblCellMar>
        </w:tblPrEx>
        <w:trPr>
          <w:tblHeader/>
        </w:trPr>
        <w:tc>
          <w:tcPr>
            <w:tcW w:w="1126"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7C1DAA86">
            <w:pPr>
              <w:spacing w:line="240" w:lineRule="auto"/>
              <w:ind w:firstLine="0" w:firstLineChars="0"/>
              <w:jc w:val="center"/>
              <w:rPr>
                <w:color w:val="000000"/>
                <w:highlight w:val="none"/>
              </w:rPr>
            </w:pPr>
            <w:r>
              <w:rPr>
                <w:color w:val="000000"/>
                <w:highlight w:val="none"/>
              </w:rPr>
              <w:t>评标项目</w:t>
            </w:r>
          </w:p>
        </w:tc>
        <w:tc>
          <w:tcPr>
            <w:tcW w:w="567"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1923C43A">
            <w:pPr>
              <w:spacing w:line="240" w:lineRule="auto"/>
              <w:ind w:firstLine="0" w:firstLineChars="0"/>
              <w:jc w:val="center"/>
              <w:rPr>
                <w:color w:val="000000"/>
                <w:highlight w:val="none"/>
              </w:rPr>
            </w:pPr>
            <w:r>
              <w:rPr>
                <w:color w:val="000000"/>
                <w:highlight w:val="none"/>
              </w:rPr>
              <w:t>评标分值</w:t>
            </w:r>
          </w:p>
        </w:tc>
        <w:tc>
          <w:tcPr>
            <w:tcW w:w="6672"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0C2BAE21">
            <w:pPr>
              <w:spacing w:line="240" w:lineRule="auto"/>
              <w:ind w:firstLine="0" w:firstLineChars="0"/>
              <w:jc w:val="center"/>
              <w:rPr>
                <w:color w:val="000000"/>
                <w:highlight w:val="none"/>
              </w:rPr>
            </w:pPr>
            <w:r>
              <w:rPr>
                <w:color w:val="000000"/>
                <w:highlight w:val="none"/>
              </w:rPr>
              <w:t>评标方法描述</w:t>
            </w:r>
          </w:p>
        </w:tc>
      </w:tr>
      <w:tr w14:paraId="1C782F33">
        <w:tblPrEx>
          <w:tblBorders>
            <w:top w:val="none" w:color="666666" w:sz="6" w:space="0"/>
            <w:left w:val="none" w:color="666666" w:sz="6" w:space="0"/>
            <w:bottom w:val="none" w:color="666666" w:sz="6" w:space="0"/>
            <w:right w:val="none" w:color="666666" w:sz="6" w:space="0"/>
            <w:insideH w:val="none" w:color="auto" w:sz="0" w:space="0"/>
            <w:insideV w:val="none" w:color="auto" w:sz="0" w:space="0"/>
          </w:tblBorders>
          <w:tblCellMar>
            <w:top w:w="0" w:type="dxa"/>
            <w:left w:w="0" w:type="dxa"/>
            <w:bottom w:w="0" w:type="dxa"/>
            <w:right w:w="0" w:type="dxa"/>
          </w:tblCellMar>
        </w:tblPrEx>
        <w:tc>
          <w:tcPr>
            <w:tcW w:w="1126"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1F0A96A0">
            <w:pPr>
              <w:ind w:firstLine="0" w:firstLineChars="0"/>
              <w:jc w:val="center"/>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培训方案</w:t>
            </w:r>
          </w:p>
        </w:tc>
        <w:tc>
          <w:tcPr>
            <w:tcW w:w="567"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744134F7">
            <w:pPr>
              <w:ind w:firstLine="0" w:firstLineChars="0"/>
              <w:jc w:val="center"/>
              <w:rPr>
                <w:highlight w:val="none"/>
              </w:rPr>
            </w:pPr>
            <w:r>
              <w:rPr>
                <w:rFonts w:ascii="宋体" w:hAnsi="宋体" w:cs="宋体"/>
                <w:kern w:val="0"/>
                <w:highlight w:val="none"/>
                <w:lang w:bidi="ar"/>
              </w:rPr>
              <w:t>3</w:t>
            </w:r>
          </w:p>
        </w:tc>
        <w:tc>
          <w:tcPr>
            <w:tcW w:w="6672"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0499D475">
            <w:pPr>
              <w:spacing w:line="240" w:lineRule="auto"/>
              <w:ind w:firstLine="0" w:firstLineChars="0"/>
              <w:rPr>
                <w:rFonts w:hint="eastAsia" w:asciiTheme="minorEastAsia" w:hAnsiTheme="minorEastAsia" w:cstheme="minorEastAsia"/>
                <w:highlight w:val="none"/>
              </w:rPr>
            </w:pPr>
            <w:r>
              <w:rPr>
                <w:rFonts w:hint="eastAsia" w:ascii="宋体" w:hAnsi="宋体" w:eastAsia="宋体" w:cs="宋体"/>
                <w:kern w:val="0"/>
                <w:szCs w:val="24"/>
                <w:highlight w:val="none"/>
              </w:rPr>
              <w:t>各投标人需提供针对本次项目的整体培训方案，（包含：①培训目标、②培训对象要求、③培训方式、</w:t>
            </w:r>
            <w:r>
              <w:rPr>
                <w:rFonts w:ascii="宋体" w:hAnsi="宋体" w:eastAsia="宋体" w:cs="宋体"/>
                <w:kern w:val="0"/>
                <w:szCs w:val="24"/>
                <w:highlight w:val="none"/>
              </w:rPr>
              <w:t>④</w:t>
            </w:r>
            <w:r>
              <w:rPr>
                <w:rFonts w:hint="eastAsia" w:ascii="宋体" w:hAnsi="宋体" w:eastAsia="宋体" w:cs="宋体"/>
                <w:kern w:val="0"/>
                <w:szCs w:val="24"/>
                <w:highlight w:val="none"/>
              </w:rPr>
              <w:t>培训材料准备、⑤培训计划内容、⑥培训保障措施；共六部分）。</w:t>
            </w:r>
            <w:r>
              <w:rPr>
                <w:rFonts w:ascii="宋体" w:hAnsi="宋体" w:eastAsia="宋体" w:cs="宋体"/>
                <w:kern w:val="0"/>
                <w:szCs w:val="24"/>
                <w:highlight w:val="none"/>
              </w:rPr>
              <w:t>由评委进行评议：方案阐述完整，描述细致，包含上述</w:t>
            </w:r>
            <w:r>
              <w:rPr>
                <w:rFonts w:hint="eastAsia" w:ascii="宋体" w:hAnsi="宋体" w:eastAsia="宋体" w:cs="宋体"/>
                <w:kern w:val="0"/>
                <w:szCs w:val="24"/>
                <w:highlight w:val="none"/>
              </w:rPr>
              <w:t>六</w:t>
            </w:r>
            <w:r>
              <w:rPr>
                <w:rFonts w:ascii="宋体" w:hAnsi="宋体" w:eastAsia="宋体" w:cs="宋体"/>
                <w:kern w:val="0"/>
                <w:szCs w:val="24"/>
                <w:highlight w:val="none"/>
              </w:rPr>
              <w:t>个分项内容的得3分，方案阐述较为完整，描述较为细致，包含上述</w:t>
            </w:r>
            <w:r>
              <w:rPr>
                <w:rFonts w:hint="eastAsia" w:ascii="宋体" w:hAnsi="宋体" w:eastAsia="宋体" w:cs="宋体"/>
                <w:kern w:val="0"/>
                <w:szCs w:val="24"/>
                <w:highlight w:val="none"/>
              </w:rPr>
              <w:t>六</w:t>
            </w:r>
            <w:r>
              <w:rPr>
                <w:rFonts w:ascii="宋体" w:hAnsi="宋体" w:eastAsia="宋体" w:cs="宋体"/>
                <w:kern w:val="0"/>
                <w:szCs w:val="24"/>
                <w:highlight w:val="none"/>
              </w:rPr>
              <w:t>个分项内容的得2</w:t>
            </w:r>
            <w:r>
              <w:rPr>
                <w:rFonts w:hint="eastAsia" w:ascii="宋体" w:hAnsi="宋体" w:eastAsia="宋体" w:cs="宋体"/>
                <w:kern w:val="0"/>
                <w:szCs w:val="24"/>
                <w:highlight w:val="none"/>
                <w:lang w:val="en-US" w:eastAsia="zh-CN"/>
              </w:rPr>
              <w:t>.7</w:t>
            </w:r>
            <w:r>
              <w:rPr>
                <w:rFonts w:ascii="宋体" w:hAnsi="宋体" w:eastAsia="宋体" w:cs="宋体"/>
                <w:kern w:val="0"/>
                <w:szCs w:val="24"/>
                <w:highlight w:val="none"/>
              </w:rPr>
              <w:t>分，方案阐述一般，描述一般，包含上述</w:t>
            </w:r>
            <w:r>
              <w:rPr>
                <w:rFonts w:hint="eastAsia" w:ascii="宋体" w:hAnsi="宋体" w:eastAsia="宋体" w:cs="宋体"/>
                <w:kern w:val="0"/>
                <w:szCs w:val="24"/>
                <w:highlight w:val="none"/>
              </w:rPr>
              <w:t>六</w:t>
            </w:r>
            <w:r>
              <w:rPr>
                <w:rFonts w:ascii="宋体" w:hAnsi="宋体" w:eastAsia="宋体" w:cs="宋体"/>
                <w:kern w:val="0"/>
                <w:szCs w:val="24"/>
                <w:highlight w:val="none"/>
              </w:rPr>
              <w:t>个分项内容的得</w:t>
            </w:r>
            <w:r>
              <w:rPr>
                <w:rFonts w:hint="eastAsia" w:ascii="宋体" w:hAnsi="宋体" w:eastAsia="宋体" w:cs="宋体"/>
                <w:kern w:val="0"/>
                <w:szCs w:val="24"/>
                <w:highlight w:val="none"/>
                <w:lang w:val="en-US" w:eastAsia="zh-CN"/>
              </w:rPr>
              <w:t>2.4</w:t>
            </w:r>
            <w:r>
              <w:rPr>
                <w:rFonts w:ascii="宋体" w:hAnsi="宋体" w:eastAsia="宋体" w:cs="宋体"/>
                <w:kern w:val="0"/>
                <w:szCs w:val="24"/>
                <w:highlight w:val="none"/>
              </w:rPr>
              <w:t>分，未提供资源供应计划方案的本项不得分。</w:t>
            </w:r>
          </w:p>
        </w:tc>
      </w:tr>
      <w:tr w14:paraId="786214F5">
        <w:tblPrEx>
          <w:tblBorders>
            <w:top w:val="none" w:color="666666" w:sz="6" w:space="0"/>
            <w:left w:val="none" w:color="666666" w:sz="6" w:space="0"/>
            <w:bottom w:val="none" w:color="666666" w:sz="6" w:space="0"/>
            <w:right w:val="none" w:color="666666" w:sz="6" w:space="0"/>
            <w:insideH w:val="none" w:color="auto" w:sz="0" w:space="0"/>
            <w:insideV w:val="none" w:color="auto" w:sz="0" w:space="0"/>
          </w:tblBorders>
          <w:tblCellMar>
            <w:top w:w="0" w:type="dxa"/>
            <w:left w:w="0" w:type="dxa"/>
            <w:bottom w:w="0" w:type="dxa"/>
            <w:right w:w="0" w:type="dxa"/>
          </w:tblCellMar>
        </w:tblPrEx>
        <w:tc>
          <w:tcPr>
            <w:tcW w:w="1126"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49B76ED3">
            <w:pPr>
              <w:spacing w:line="240" w:lineRule="auto"/>
              <w:ind w:firstLine="0" w:firstLineChars="0"/>
              <w:jc w:val="center"/>
              <w:rPr>
                <w:color w:val="000000" w:themeColor="text1"/>
                <w:highlight w:val="none"/>
                <w14:textFill>
                  <w14:solidFill>
                    <w14:schemeClr w14:val="tx1"/>
                  </w14:solidFill>
                </w14:textFill>
              </w:rPr>
            </w:pPr>
            <w:r>
              <w:rPr>
                <w:rFonts w:ascii="宋体" w:hAnsi="宋体" w:eastAsia="宋体" w:cs="宋体"/>
                <w:kern w:val="0"/>
                <w:szCs w:val="24"/>
                <w:highlight w:val="none"/>
              </w:rPr>
              <w:t>售后服务</w:t>
            </w:r>
            <w:r>
              <w:rPr>
                <w:rFonts w:hint="eastAsia" w:ascii="宋体" w:hAnsi="宋体" w:eastAsia="宋体" w:cs="宋体"/>
                <w:kern w:val="0"/>
                <w:szCs w:val="24"/>
                <w:highlight w:val="none"/>
              </w:rPr>
              <w:t>方案</w:t>
            </w:r>
          </w:p>
        </w:tc>
        <w:tc>
          <w:tcPr>
            <w:tcW w:w="567"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1D237071">
            <w:pPr>
              <w:ind w:firstLine="0" w:firstLineChars="0"/>
              <w:jc w:val="center"/>
              <w:rPr>
                <w:highlight w:val="none"/>
              </w:rPr>
            </w:pPr>
            <w:r>
              <w:rPr>
                <w:rFonts w:ascii="宋体" w:hAnsi="宋体" w:eastAsia="宋体" w:cs="宋体"/>
                <w:kern w:val="0"/>
                <w:szCs w:val="24"/>
                <w:highlight w:val="none"/>
              </w:rPr>
              <w:t>3</w:t>
            </w:r>
          </w:p>
        </w:tc>
        <w:tc>
          <w:tcPr>
            <w:tcW w:w="6672"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739D6614">
            <w:pPr>
              <w:spacing w:line="240" w:lineRule="auto"/>
              <w:ind w:firstLine="0" w:firstLineChars="0"/>
              <w:rPr>
                <w:rFonts w:hint="eastAsia" w:asciiTheme="minorEastAsia" w:hAnsiTheme="minorEastAsia" w:cstheme="minorEastAsia"/>
                <w:highlight w:val="none"/>
              </w:rPr>
            </w:pPr>
            <w:r>
              <w:rPr>
                <w:rFonts w:ascii="宋体" w:hAnsi="宋体" w:eastAsia="宋体" w:cs="宋体"/>
                <w:kern w:val="0"/>
                <w:szCs w:val="24"/>
                <w:highlight w:val="none"/>
              </w:rPr>
              <w:t>根据投标人针对本项目的实际情况编制</w:t>
            </w:r>
            <w:r>
              <w:rPr>
                <w:rFonts w:hint="eastAsia" w:ascii="宋体" w:hAnsi="宋体" w:eastAsia="宋体" w:cs="宋体"/>
                <w:kern w:val="0"/>
                <w:szCs w:val="24"/>
                <w:highlight w:val="none"/>
              </w:rPr>
              <w:t>售后服务</w:t>
            </w:r>
            <w:r>
              <w:rPr>
                <w:rFonts w:ascii="宋体" w:hAnsi="宋体" w:eastAsia="宋体" w:cs="宋体"/>
                <w:kern w:val="0"/>
                <w:szCs w:val="24"/>
                <w:highlight w:val="none"/>
              </w:rPr>
              <w:t>方案</w:t>
            </w:r>
            <w:r>
              <w:rPr>
                <w:rFonts w:hint="eastAsia" w:ascii="宋体" w:hAnsi="宋体" w:eastAsia="宋体" w:cs="宋体"/>
                <w:kern w:val="0"/>
                <w:szCs w:val="24"/>
                <w:highlight w:val="none"/>
              </w:rPr>
              <w:t>（包含：①售后服务团队及售后服务范围、②系统升级需求变更与文档服务运行支持、③售后服务组织体系保障；共三部分）</w:t>
            </w:r>
            <w:r>
              <w:rPr>
                <w:rFonts w:ascii="宋体" w:hAnsi="宋体" w:eastAsia="宋体" w:cs="宋体"/>
                <w:kern w:val="0"/>
                <w:szCs w:val="24"/>
                <w:highlight w:val="none"/>
              </w:rPr>
              <w:t>由评委进行评议：方案阐述完整，描述细致，包含上述</w:t>
            </w:r>
            <w:r>
              <w:rPr>
                <w:rFonts w:hint="eastAsia" w:ascii="宋体" w:hAnsi="宋体" w:eastAsia="宋体" w:cs="宋体"/>
                <w:kern w:val="0"/>
                <w:szCs w:val="24"/>
                <w:highlight w:val="none"/>
              </w:rPr>
              <w:t>三</w:t>
            </w:r>
            <w:r>
              <w:rPr>
                <w:rFonts w:ascii="宋体" w:hAnsi="宋体" w:eastAsia="宋体" w:cs="宋体"/>
                <w:kern w:val="0"/>
                <w:szCs w:val="24"/>
                <w:highlight w:val="none"/>
              </w:rPr>
              <w:t>个分项内容的得3分，方案阐述较为完整，描述较为细致，包含上述</w:t>
            </w:r>
            <w:r>
              <w:rPr>
                <w:rFonts w:hint="eastAsia" w:ascii="宋体" w:hAnsi="宋体" w:eastAsia="宋体" w:cs="宋体"/>
                <w:kern w:val="0"/>
                <w:szCs w:val="24"/>
                <w:highlight w:val="none"/>
              </w:rPr>
              <w:t>三</w:t>
            </w:r>
            <w:r>
              <w:rPr>
                <w:rFonts w:ascii="宋体" w:hAnsi="宋体" w:eastAsia="宋体" w:cs="宋体"/>
                <w:kern w:val="0"/>
                <w:szCs w:val="24"/>
                <w:highlight w:val="none"/>
              </w:rPr>
              <w:t>个分项内容的得2</w:t>
            </w:r>
            <w:r>
              <w:rPr>
                <w:rFonts w:hint="eastAsia" w:ascii="宋体" w:hAnsi="宋体" w:eastAsia="宋体" w:cs="宋体"/>
                <w:kern w:val="0"/>
                <w:szCs w:val="24"/>
                <w:highlight w:val="none"/>
                <w:lang w:val="en-US" w:eastAsia="zh-CN"/>
              </w:rPr>
              <w:t>.7</w:t>
            </w:r>
            <w:r>
              <w:rPr>
                <w:rFonts w:ascii="宋体" w:hAnsi="宋体" w:eastAsia="宋体" w:cs="宋体"/>
                <w:kern w:val="0"/>
                <w:szCs w:val="24"/>
                <w:highlight w:val="none"/>
              </w:rPr>
              <w:t>分，方案阐述一般，描述一般，包含上述</w:t>
            </w:r>
            <w:r>
              <w:rPr>
                <w:rFonts w:hint="eastAsia" w:ascii="宋体" w:hAnsi="宋体" w:eastAsia="宋体" w:cs="宋体"/>
                <w:kern w:val="0"/>
                <w:szCs w:val="24"/>
                <w:highlight w:val="none"/>
              </w:rPr>
              <w:t>三</w:t>
            </w:r>
            <w:r>
              <w:rPr>
                <w:rFonts w:ascii="宋体" w:hAnsi="宋体" w:eastAsia="宋体" w:cs="宋体"/>
                <w:kern w:val="0"/>
                <w:szCs w:val="24"/>
                <w:highlight w:val="none"/>
              </w:rPr>
              <w:t>个分项内容的得</w:t>
            </w:r>
            <w:r>
              <w:rPr>
                <w:rFonts w:hint="eastAsia" w:ascii="宋体" w:hAnsi="宋体" w:eastAsia="宋体" w:cs="宋体"/>
                <w:kern w:val="0"/>
                <w:szCs w:val="24"/>
                <w:highlight w:val="none"/>
                <w:lang w:val="en-US" w:eastAsia="zh-CN"/>
              </w:rPr>
              <w:t>2.4</w:t>
            </w:r>
            <w:r>
              <w:rPr>
                <w:rFonts w:ascii="宋体" w:hAnsi="宋体" w:eastAsia="宋体" w:cs="宋体"/>
                <w:kern w:val="0"/>
                <w:szCs w:val="24"/>
                <w:highlight w:val="none"/>
              </w:rPr>
              <w:t>分，未提供资源供应计划方案的本项不得分。</w:t>
            </w:r>
          </w:p>
        </w:tc>
      </w:tr>
      <w:tr w14:paraId="0F3370AA">
        <w:tblPrEx>
          <w:tblBorders>
            <w:top w:val="none" w:color="666666" w:sz="6" w:space="0"/>
            <w:left w:val="none" w:color="666666" w:sz="6" w:space="0"/>
            <w:bottom w:val="none" w:color="666666" w:sz="6" w:space="0"/>
            <w:right w:val="none" w:color="666666" w:sz="6" w:space="0"/>
            <w:insideH w:val="none" w:color="auto" w:sz="0" w:space="0"/>
            <w:insideV w:val="none" w:color="auto" w:sz="0" w:space="0"/>
          </w:tblBorders>
          <w:tblCellMar>
            <w:top w:w="0" w:type="dxa"/>
            <w:left w:w="0" w:type="dxa"/>
            <w:bottom w:w="0" w:type="dxa"/>
            <w:right w:w="0" w:type="dxa"/>
          </w:tblCellMar>
        </w:tblPrEx>
        <w:tc>
          <w:tcPr>
            <w:tcW w:w="1126"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65CAF968">
            <w:pPr>
              <w:spacing w:line="240" w:lineRule="auto"/>
              <w:ind w:firstLine="0" w:firstLineChars="0"/>
              <w:jc w:val="center"/>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紧急处理时效</w:t>
            </w:r>
          </w:p>
        </w:tc>
        <w:tc>
          <w:tcPr>
            <w:tcW w:w="567"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36CEF51B">
            <w:pPr>
              <w:ind w:firstLine="0" w:firstLineChars="0"/>
              <w:jc w:val="center"/>
              <w:rPr>
                <w:highlight w:val="none"/>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4</w:t>
            </w:r>
          </w:p>
        </w:tc>
        <w:tc>
          <w:tcPr>
            <w:tcW w:w="6672"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3C9DDCFB">
            <w:pPr>
              <w:spacing w:line="240" w:lineRule="auto"/>
              <w:ind w:firstLine="0" w:firstLineChars="0"/>
              <w:rPr>
                <w:bCs/>
                <w:highlight w:val="none"/>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根据投标人针对本项目提供的紧急处理服务响应时间情况进行评分：投标人承诺从接到采购人通知后4个小时内针对紧急事项派出技术保障人员在现场保障系统的良好运行，协助采购人运用管理系统处理相关事宜的得4分；投标人需提供专项承诺函（格式自拟）并加盖其单位公章，未提供的本项不得分。</w:t>
            </w:r>
          </w:p>
        </w:tc>
      </w:tr>
    </w:tbl>
    <w:p w14:paraId="10A16775">
      <w:pPr>
        <w:adjustRightInd/>
        <w:snapToGrid/>
        <w:spacing w:after="0" w:line="480" w:lineRule="atLeast"/>
        <w:jc w:val="both"/>
        <w:rPr>
          <w:rFonts w:hint="eastAsia" w:asciiTheme="majorEastAsia" w:hAnsiTheme="majorEastAsia" w:eastAsiaTheme="majorEastAsia" w:cstheme="majorEastAsia"/>
          <w:sz w:val="24"/>
          <w:szCs w:val="24"/>
          <w:highlight w:val="none"/>
          <w:lang w:val="en-US" w:eastAsia="zh-CN"/>
        </w:rPr>
      </w:pPr>
    </w:p>
    <w:p w14:paraId="5EDE5BDD">
      <w:pPr>
        <w:pStyle w:val="47"/>
        <w:widowControl w:val="0"/>
        <w:ind w:firstLine="480" w:firstLineChars="200"/>
        <w:jc w:val="both"/>
        <w:rPr>
          <w:rFonts w:hint="eastAsia" w:asciiTheme="majorEastAsia" w:hAnsiTheme="majorEastAsia" w:eastAsiaTheme="majorEastAsia" w:cstheme="majorEastAsia"/>
          <w:color w:val="auto"/>
          <w:sz w:val="24"/>
          <w:szCs w:val="24"/>
          <w:highlight w:val="none"/>
          <w:shd w:val="clear" w:color="auto" w:fill="FFFFFF"/>
          <w:lang w:val="en-US" w:eastAsia="zh-CN"/>
        </w:rPr>
      </w:pPr>
      <w:r>
        <w:rPr>
          <w:rFonts w:hint="eastAsia" w:asciiTheme="majorEastAsia" w:hAnsiTheme="majorEastAsia" w:eastAsiaTheme="majorEastAsia" w:cstheme="majorEastAsia"/>
          <w:color w:val="auto"/>
          <w:sz w:val="24"/>
          <w:szCs w:val="24"/>
          <w:highlight w:val="none"/>
          <w:shd w:val="clear" w:color="auto" w:fill="FFFFFF"/>
          <w:lang w:val="en-US" w:eastAsia="zh-CN"/>
        </w:rPr>
        <w:t>★四、服务要求</w:t>
      </w:r>
    </w:p>
    <w:p w14:paraId="0C5ECD60">
      <w:pPr>
        <w:pStyle w:val="47"/>
        <w:widowControl w:val="0"/>
        <w:numPr>
          <w:ilvl w:val="0"/>
          <w:numId w:val="6"/>
        </w:numPr>
        <w:ind w:left="425" w:leftChars="0" w:hanging="425" w:firstLineChars="0"/>
        <w:jc w:val="both"/>
        <w:rPr>
          <w:rFonts w:hint="eastAsia" w:asciiTheme="majorEastAsia" w:hAnsiTheme="majorEastAsia" w:eastAsiaTheme="majorEastAsia" w:cstheme="majorEastAsia"/>
          <w:color w:val="auto"/>
          <w:sz w:val="24"/>
          <w:szCs w:val="24"/>
          <w:highlight w:val="none"/>
          <w:shd w:val="clear" w:color="auto" w:fill="FFFFFF"/>
          <w:lang w:val="en-US" w:eastAsia="zh-CN"/>
        </w:rPr>
      </w:pPr>
      <w:r>
        <w:rPr>
          <w:rFonts w:hint="eastAsia" w:asciiTheme="majorEastAsia" w:hAnsiTheme="majorEastAsia" w:eastAsiaTheme="majorEastAsia" w:cstheme="majorEastAsia"/>
          <w:color w:val="auto"/>
          <w:sz w:val="24"/>
          <w:szCs w:val="24"/>
          <w:highlight w:val="none"/>
          <w:shd w:val="clear" w:color="auto" w:fill="FFFFFF"/>
          <w:lang w:val="en-US" w:eastAsia="zh-CN"/>
        </w:rPr>
        <w:t>质量保证期：1年，自验收合格之日起计算。</w:t>
      </w:r>
    </w:p>
    <w:p w14:paraId="334A36AC">
      <w:pPr>
        <w:pStyle w:val="47"/>
        <w:widowControl w:val="0"/>
        <w:numPr>
          <w:ilvl w:val="0"/>
          <w:numId w:val="6"/>
        </w:numPr>
        <w:ind w:left="425" w:leftChars="0" w:hanging="425" w:firstLineChars="0"/>
        <w:jc w:val="both"/>
        <w:rPr>
          <w:rFonts w:hint="eastAsia" w:asciiTheme="majorEastAsia" w:hAnsiTheme="majorEastAsia" w:eastAsiaTheme="majorEastAsia" w:cstheme="majorEastAsia"/>
          <w:color w:val="auto"/>
          <w:sz w:val="24"/>
          <w:szCs w:val="24"/>
          <w:highlight w:val="none"/>
          <w:shd w:val="clear" w:color="auto" w:fill="FFFFFF"/>
          <w:lang w:val="en-US" w:eastAsia="zh-CN"/>
        </w:rPr>
      </w:pPr>
      <w:r>
        <w:rPr>
          <w:rFonts w:hint="eastAsia" w:asciiTheme="majorEastAsia" w:hAnsiTheme="majorEastAsia" w:eastAsiaTheme="majorEastAsia" w:cstheme="majorEastAsia"/>
          <w:color w:val="auto"/>
          <w:sz w:val="24"/>
          <w:szCs w:val="24"/>
          <w:highlight w:val="none"/>
          <w:shd w:val="clear" w:color="auto" w:fill="FFFFFF"/>
          <w:lang w:val="en-US" w:eastAsia="zh-CN"/>
        </w:rPr>
        <w:t>保修期内：免费进行设备安装调试；在质量保证期内设备运行发生故障时，中标人应7×24小时提供免费咨询服务，中标人在接到采购人故障通知后2小时内响应，6小时内应委派专业技术人员到现场免费提供咨询、维修和更换有缺陷的零部件，并及时填写维修报告(包括故障原因、处理情况及采购人意见等)报采购人备案。</w:t>
      </w:r>
    </w:p>
    <w:p w14:paraId="404D365D">
      <w:pPr>
        <w:pStyle w:val="47"/>
        <w:widowControl w:val="0"/>
        <w:numPr>
          <w:ilvl w:val="0"/>
          <w:numId w:val="6"/>
        </w:numPr>
        <w:ind w:left="425" w:leftChars="0" w:hanging="425" w:firstLineChars="0"/>
        <w:jc w:val="both"/>
        <w:rPr>
          <w:rFonts w:hint="eastAsia" w:asciiTheme="majorEastAsia" w:hAnsiTheme="majorEastAsia" w:eastAsiaTheme="majorEastAsia" w:cstheme="majorEastAsia"/>
          <w:color w:val="auto"/>
          <w:sz w:val="24"/>
          <w:szCs w:val="24"/>
          <w:highlight w:val="none"/>
          <w:shd w:val="clear" w:color="auto" w:fill="FFFFFF"/>
          <w:lang w:val="en-US" w:eastAsia="zh-CN"/>
        </w:rPr>
      </w:pPr>
      <w:r>
        <w:rPr>
          <w:rFonts w:hint="eastAsia" w:asciiTheme="majorEastAsia" w:hAnsiTheme="majorEastAsia" w:eastAsiaTheme="majorEastAsia" w:cstheme="majorEastAsia"/>
          <w:color w:val="auto"/>
          <w:sz w:val="24"/>
          <w:szCs w:val="24"/>
          <w:highlight w:val="none"/>
          <w:shd w:val="clear" w:color="auto" w:fill="FFFFFF"/>
          <w:lang w:val="en-US" w:eastAsia="zh-CN"/>
        </w:rPr>
        <w:t>为了更快速的响应免费保修期的保修工作，技术工程师需熟悉本项目的建设内容、技术要求及建设方案，能够熟练掌握本项目中所涉及的各类软硬件与问题的判断处理能力。</w:t>
      </w:r>
    </w:p>
    <w:p w14:paraId="0BBE200D">
      <w:pPr>
        <w:pStyle w:val="47"/>
        <w:widowControl w:val="0"/>
        <w:numPr>
          <w:ilvl w:val="0"/>
          <w:numId w:val="6"/>
        </w:numPr>
        <w:ind w:left="425" w:leftChars="0" w:hanging="425" w:firstLineChars="0"/>
        <w:jc w:val="both"/>
        <w:rPr>
          <w:rFonts w:hint="eastAsia" w:asciiTheme="majorEastAsia" w:hAnsiTheme="majorEastAsia" w:eastAsiaTheme="majorEastAsia" w:cstheme="majorEastAsia"/>
          <w:color w:val="auto"/>
          <w:sz w:val="24"/>
          <w:szCs w:val="24"/>
          <w:highlight w:val="none"/>
          <w:shd w:val="clear" w:color="auto" w:fill="FFFFFF"/>
          <w:lang w:val="en-US" w:eastAsia="zh-CN"/>
        </w:rPr>
      </w:pPr>
      <w:r>
        <w:rPr>
          <w:rFonts w:hint="eastAsia" w:asciiTheme="majorEastAsia" w:hAnsiTheme="majorEastAsia" w:eastAsiaTheme="majorEastAsia" w:cstheme="majorEastAsia"/>
          <w:color w:val="auto"/>
          <w:sz w:val="24"/>
          <w:szCs w:val="24"/>
          <w:highlight w:val="none"/>
          <w:shd w:val="clear" w:color="auto" w:fill="FFFFFF"/>
          <w:lang w:val="en-US" w:eastAsia="zh-CN"/>
        </w:rPr>
        <w:t>投标人应响应本次采购售后服务要求，并提供承诺函，也可视自身能力在投标文件中提供更优、更合理的售后服务承诺。</w:t>
      </w:r>
    </w:p>
    <w:p w14:paraId="7E53FCDA">
      <w:pPr>
        <w:pStyle w:val="47"/>
        <w:widowControl w:val="0"/>
        <w:ind w:firstLine="480" w:firstLineChars="200"/>
        <w:jc w:val="both"/>
        <w:rPr>
          <w:rFonts w:hint="eastAsia" w:asciiTheme="majorEastAsia" w:hAnsiTheme="majorEastAsia" w:eastAsiaTheme="majorEastAsia" w:cstheme="majorEastAsia"/>
          <w:color w:val="auto"/>
          <w:sz w:val="24"/>
          <w:szCs w:val="24"/>
          <w:highlight w:val="none"/>
          <w:shd w:val="clear" w:color="auto" w:fill="FFFFFF"/>
          <w:lang w:val="en-US" w:eastAsia="zh-CN"/>
        </w:rPr>
      </w:pPr>
      <w:r>
        <w:rPr>
          <w:rFonts w:hint="eastAsia" w:asciiTheme="majorEastAsia" w:hAnsiTheme="majorEastAsia" w:eastAsiaTheme="majorEastAsia" w:cstheme="majorEastAsia"/>
          <w:color w:val="auto"/>
          <w:sz w:val="24"/>
          <w:szCs w:val="24"/>
          <w:highlight w:val="none"/>
          <w:shd w:val="clear" w:color="auto" w:fill="FFFFFF"/>
          <w:lang w:val="en-US" w:eastAsia="zh-CN"/>
        </w:rPr>
        <w:t>★五、其它要求</w:t>
      </w:r>
    </w:p>
    <w:p w14:paraId="4C643131">
      <w:pPr>
        <w:pStyle w:val="47"/>
        <w:widowControl w:val="0"/>
        <w:numPr>
          <w:ilvl w:val="0"/>
          <w:numId w:val="7"/>
        </w:numPr>
        <w:ind w:left="0" w:leftChars="0" w:firstLine="420" w:firstLineChars="0"/>
        <w:jc w:val="both"/>
        <w:rPr>
          <w:rFonts w:hint="eastAsia" w:asciiTheme="majorEastAsia" w:hAnsiTheme="majorEastAsia" w:eastAsiaTheme="majorEastAsia" w:cstheme="majorEastAsia"/>
          <w:color w:val="auto"/>
          <w:sz w:val="24"/>
          <w:szCs w:val="24"/>
          <w:highlight w:val="none"/>
          <w:shd w:val="clear" w:color="auto" w:fill="FFFFFF"/>
          <w:lang w:val="en-US" w:eastAsia="zh-CN"/>
        </w:rPr>
      </w:pPr>
      <w:r>
        <w:rPr>
          <w:rFonts w:hint="eastAsia" w:asciiTheme="majorEastAsia" w:hAnsiTheme="majorEastAsia" w:eastAsiaTheme="majorEastAsia" w:cstheme="majorEastAsia"/>
          <w:color w:val="auto"/>
          <w:sz w:val="24"/>
          <w:szCs w:val="24"/>
          <w:highlight w:val="none"/>
          <w:shd w:val="clear" w:color="auto" w:fill="FFFFFF"/>
          <w:lang w:val="en-US" w:eastAsia="zh-CN"/>
        </w:rPr>
        <w:t>招标文件的技术要求应视为保证系统投入运行所需的最低要求，投标人不得虚报各项技术指标。</w:t>
      </w:r>
    </w:p>
    <w:p w14:paraId="659CC4B0">
      <w:pPr>
        <w:pStyle w:val="47"/>
        <w:widowControl w:val="0"/>
        <w:numPr>
          <w:ilvl w:val="0"/>
          <w:numId w:val="7"/>
        </w:numPr>
        <w:ind w:left="0" w:leftChars="0" w:firstLine="420" w:firstLineChars="0"/>
        <w:jc w:val="both"/>
        <w:rPr>
          <w:rFonts w:hint="eastAsia" w:asciiTheme="majorEastAsia" w:hAnsiTheme="majorEastAsia" w:eastAsiaTheme="majorEastAsia" w:cstheme="majorEastAsia"/>
          <w:color w:val="auto"/>
          <w:sz w:val="24"/>
          <w:szCs w:val="24"/>
          <w:highlight w:val="none"/>
          <w:shd w:val="clear" w:color="auto" w:fill="FFFFFF"/>
          <w:lang w:val="en-US" w:eastAsia="zh-CN"/>
        </w:rPr>
      </w:pPr>
      <w:r>
        <w:rPr>
          <w:rFonts w:hint="eastAsia" w:asciiTheme="majorEastAsia" w:hAnsiTheme="majorEastAsia" w:eastAsiaTheme="majorEastAsia" w:cstheme="majorEastAsia"/>
          <w:color w:val="auto"/>
          <w:sz w:val="24"/>
          <w:szCs w:val="24"/>
          <w:highlight w:val="none"/>
          <w:shd w:val="clear" w:color="auto" w:fill="FFFFFF"/>
          <w:lang w:val="en-US" w:eastAsia="zh-CN"/>
        </w:rPr>
        <w:t>投标人须承诺所提供的本次投标涉及的所有证明材料为真实有效(本次投标要求涉及的所有证明材料以颁发时间起至本次项目提交投标文件截止时间前为止)，评标过程中若发现虚假材料的，其投标无效。招标人有权在评标过程中对投标人投标文件中的各种产品资料、设备指标、说明、承诺的真实性进行核查【包括但不限于原件备查、技术咨询确认、功能演示(若有)等形式】，招标人有权在签订合同之前对投标人所提供货物的各种设备指标、设备功能、承诺的真实性进行核查（包括但不限于检测报告或资料原件的核查、技术咨询确认、设备实物产品确认等形式），投标人应无条件配合招标人的核查工作，不得托词拒绝核查或隐瞒真实情况。若在中标后或签约前或执行合同过程中发现有为谋取中标而提供虚假资料和承诺欺骗招标人和评委的行为，招标人将取消其中标资格或单方面终止合同，其投标保证金、履约保证金（若有）将不予退还，给招标人和招标代理机构造成损失的，还必须进行赔偿并负相关责任。投标人须针对前述内容在投标文件中单独提供专项承诺函（格式自拟），否则视为未实质性响应招标文件要求，按无效投标处理。</w:t>
      </w:r>
    </w:p>
    <w:p w14:paraId="1D8441C9">
      <w:pPr>
        <w:pStyle w:val="47"/>
        <w:widowControl w:val="0"/>
        <w:numPr>
          <w:ilvl w:val="0"/>
          <w:numId w:val="7"/>
        </w:numPr>
        <w:ind w:left="0" w:leftChars="0" w:firstLine="420" w:firstLineChars="0"/>
        <w:jc w:val="both"/>
        <w:rPr>
          <w:rFonts w:hint="eastAsia" w:asciiTheme="majorEastAsia" w:hAnsiTheme="majorEastAsia" w:eastAsiaTheme="majorEastAsia" w:cstheme="majorEastAsia"/>
          <w:color w:val="auto"/>
          <w:sz w:val="24"/>
          <w:szCs w:val="24"/>
          <w:highlight w:val="none"/>
          <w:shd w:val="clear" w:color="auto" w:fill="FFFFFF"/>
          <w:lang w:val="en-US" w:eastAsia="zh-CN"/>
        </w:rPr>
      </w:pPr>
      <w:r>
        <w:rPr>
          <w:rFonts w:hint="eastAsia" w:asciiTheme="majorEastAsia" w:hAnsiTheme="majorEastAsia" w:eastAsiaTheme="majorEastAsia" w:cstheme="majorEastAsia"/>
          <w:color w:val="auto"/>
          <w:sz w:val="24"/>
          <w:szCs w:val="24"/>
          <w:highlight w:val="none"/>
          <w:shd w:val="clear" w:color="auto" w:fill="FFFFFF"/>
          <w:lang w:val="en-US" w:eastAsia="zh-CN"/>
        </w:rPr>
        <w:t>投标人所投产品如有国家强制性要求或认证的（包括3C、节能、信息安全等）且招标文件“二、技术和服务要求”中有要求投标时提供国家强制性要求或认证的必须提供，未要求提供的，投标人须承诺该产品满足国家强制性认证，并提供承诺函（承诺函格式自拟）。</w:t>
      </w:r>
    </w:p>
    <w:p w14:paraId="57D5F697">
      <w:pPr>
        <w:pStyle w:val="47"/>
        <w:widowControl w:val="0"/>
        <w:numPr>
          <w:ilvl w:val="0"/>
          <w:numId w:val="7"/>
        </w:numPr>
        <w:ind w:left="0" w:leftChars="0" w:firstLine="420" w:firstLineChars="0"/>
        <w:jc w:val="both"/>
        <w:rPr>
          <w:rFonts w:hint="eastAsia" w:asciiTheme="majorEastAsia" w:hAnsiTheme="majorEastAsia" w:eastAsiaTheme="majorEastAsia" w:cstheme="majorEastAsia"/>
          <w:color w:val="auto"/>
          <w:sz w:val="24"/>
          <w:szCs w:val="24"/>
          <w:highlight w:val="none"/>
          <w:shd w:val="clear" w:color="auto" w:fill="FFFFFF"/>
          <w:lang w:val="en-US" w:eastAsia="zh-CN"/>
        </w:rPr>
      </w:pPr>
      <w:r>
        <w:rPr>
          <w:rFonts w:hint="eastAsia" w:asciiTheme="majorEastAsia" w:hAnsiTheme="majorEastAsia" w:eastAsiaTheme="majorEastAsia" w:cstheme="majorEastAsia"/>
          <w:color w:val="auto"/>
          <w:sz w:val="24"/>
          <w:szCs w:val="24"/>
          <w:highlight w:val="none"/>
          <w:shd w:val="clear" w:color="auto" w:fill="FFFFFF"/>
          <w:lang w:val="en-US" w:eastAsia="zh-CN"/>
        </w:rPr>
        <w:t>在服务过程中如遇到招标文件中未做规定或未明确的其它约定事项或条款的，由采购人与中标供应商协商后另做规定。</w:t>
      </w:r>
    </w:p>
    <w:p w14:paraId="618F0888">
      <w:pPr>
        <w:pStyle w:val="47"/>
        <w:widowControl w:val="0"/>
        <w:numPr>
          <w:ilvl w:val="0"/>
          <w:numId w:val="7"/>
        </w:numPr>
        <w:ind w:left="0" w:leftChars="0" w:firstLine="420" w:firstLineChars="0"/>
        <w:jc w:val="both"/>
        <w:rPr>
          <w:rFonts w:hint="eastAsia" w:asciiTheme="majorEastAsia" w:hAnsiTheme="majorEastAsia" w:eastAsiaTheme="majorEastAsia" w:cstheme="majorEastAsia"/>
          <w:color w:val="auto"/>
          <w:sz w:val="24"/>
          <w:szCs w:val="24"/>
          <w:highlight w:val="none"/>
          <w:shd w:val="clear" w:color="auto" w:fill="FFFFFF"/>
          <w:lang w:val="en-US" w:eastAsia="zh-CN"/>
        </w:rPr>
      </w:pPr>
      <w:r>
        <w:rPr>
          <w:rFonts w:hint="eastAsia" w:asciiTheme="majorEastAsia" w:hAnsiTheme="majorEastAsia" w:eastAsiaTheme="majorEastAsia" w:cstheme="majorEastAsia"/>
          <w:color w:val="auto"/>
          <w:sz w:val="24"/>
          <w:szCs w:val="24"/>
          <w:highlight w:val="none"/>
          <w:shd w:val="clear" w:color="auto" w:fill="FFFFFF"/>
          <w:lang w:val="en-US" w:eastAsia="zh-CN"/>
        </w:rPr>
        <w:t>因中标人原因造成采购供货合同无法按时签订，视为中标人违约，中标人需赔偿采购人的损失。</w:t>
      </w:r>
    </w:p>
    <w:p w14:paraId="6E21F560">
      <w:pPr>
        <w:pStyle w:val="47"/>
        <w:widowControl w:val="0"/>
        <w:numPr>
          <w:ilvl w:val="0"/>
          <w:numId w:val="7"/>
        </w:numPr>
        <w:ind w:left="0" w:leftChars="0" w:firstLine="420" w:firstLineChars="0"/>
        <w:jc w:val="both"/>
        <w:rPr>
          <w:rFonts w:hint="eastAsia" w:asciiTheme="majorEastAsia" w:hAnsiTheme="majorEastAsia" w:eastAsiaTheme="majorEastAsia" w:cstheme="majorEastAsia"/>
          <w:color w:val="auto"/>
          <w:sz w:val="24"/>
          <w:szCs w:val="24"/>
          <w:highlight w:val="none"/>
          <w:shd w:val="clear" w:color="auto" w:fill="FFFFFF"/>
          <w:lang w:val="en-US" w:eastAsia="zh-CN"/>
        </w:rPr>
      </w:pPr>
      <w:r>
        <w:rPr>
          <w:rFonts w:hint="eastAsia" w:asciiTheme="majorEastAsia" w:hAnsiTheme="majorEastAsia" w:eastAsiaTheme="majorEastAsia" w:cstheme="majorEastAsia"/>
          <w:color w:val="auto"/>
          <w:sz w:val="24"/>
          <w:szCs w:val="24"/>
          <w:highlight w:val="none"/>
          <w:shd w:val="clear" w:color="auto" w:fill="FFFFFF"/>
          <w:lang w:val="en-US" w:eastAsia="zh-CN"/>
        </w:rPr>
        <w:t>在签定采购供货合同之后，中标人要求解除合同的，视为中标人违约；中标人违约对采购人造成的损失的，需另行支付相应的赔偿。</w:t>
      </w:r>
    </w:p>
    <w:p w14:paraId="270A798D">
      <w:pPr>
        <w:pStyle w:val="47"/>
        <w:widowControl w:val="0"/>
        <w:numPr>
          <w:ilvl w:val="0"/>
          <w:numId w:val="7"/>
        </w:numPr>
        <w:ind w:left="0" w:leftChars="0" w:firstLine="420" w:firstLineChars="0"/>
        <w:jc w:val="both"/>
        <w:rPr>
          <w:rFonts w:hint="eastAsia" w:asciiTheme="majorEastAsia" w:hAnsiTheme="majorEastAsia" w:eastAsiaTheme="majorEastAsia" w:cstheme="majorEastAsia"/>
          <w:color w:val="auto"/>
          <w:sz w:val="24"/>
          <w:szCs w:val="24"/>
          <w:highlight w:val="none"/>
          <w:shd w:val="clear" w:color="auto" w:fill="FFFFFF"/>
          <w:lang w:val="en-US" w:eastAsia="zh-CN"/>
        </w:rPr>
      </w:pPr>
      <w:r>
        <w:rPr>
          <w:rFonts w:hint="eastAsia" w:asciiTheme="majorEastAsia" w:hAnsiTheme="majorEastAsia" w:eastAsiaTheme="majorEastAsia" w:cstheme="majorEastAsia"/>
          <w:color w:val="auto"/>
          <w:sz w:val="24"/>
          <w:szCs w:val="24"/>
          <w:highlight w:val="none"/>
          <w:shd w:val="clear" w:color="auto" w:fill="FFFFFF"/>
          <w:lang w:val="en-US" w:eastAsia="zh-CN"/>
        </w:rPr>
        <w:t>因中标人原因发生重大质量事故，除依约承担赔偿责任外，还将按有关质量管理办法规定执行。同时，采购人有权保留更换中标人的权利，并报相关行政主管部门处罚。</w:t>
      </w:r>
    </w:p>
    <w:p w14:paraId="5F3483A4">
      <w:pPr>
        <w:pStyle w:val="47"/>
        <w:widowControl w:val="0"/>
        <w:numPr>
          <w:ilvl w:val="0"/>
          <w:numId w:val="7"/>
        </w:numPr>
        <w:ind w:left="0" w:leftChars="0" w:firstLine="420" w:firstLineChars="0"/>
        <w:jc w:val="both"/>
        <w:rPr>
          <w:rFonts w:hint="eastAsia" w:asciiTheme="majorEastAsia" w:hAnsiTheme="majorEastAsia" w:eastAsiaTheme="majorEastAsia" w:cstheme="majorEastAsia"/>
          <w:color w:val="auto"/>
          <w:sz w:val="24"/>
          <w:szCs w:val="24"/>
          <w:highlight w:val="none"/>
          <w:shd w:val="clear" w:color="auto" w:fill="FFFFFF"/>
          <w:lang w:val="en-US" w:eastAsia="zh-CN"/>
        </w:rPr>
      </w:pPr>
      <w:r>
        <w:rPr>
          <w:rFonts w:hint="eastAsia" w:asciiTheme="majorEastAsia" w:hAnsiTheme="majorEastAsia" w:eastAsiaTheme="majorEastAsia" w:cstheme="majorEastAsia"/>
          <w:color w:val="auto"/>
          <w:sz w:val="24"/>
          <w:szCs w:val="24"/>
          <w:highlight w:val="none"/>
          <w:shd w:val="clear" w:color="auto" w:fill="FFFFFF"/>
          <w:lang w:val="en-US" w:eastAsia="zh-CN"/>
        </w:rPr>
        <w:t>合同签订后至合同期届满前，中标人应严格按照相关安全规范执行。若发生安全事故或特大安全事故，责任由中标人承担，采购人或使用人不承担任何法律责任及赔偿。</w:t>
      </w:r>
    </w:p>
    <w:p w14:paraId="14B59B44">
      <w:pPr>
        <w:pStyle w:val="47"/>
        <w:widowControl w:val="0"/>
        <w:numPr>
          <w:ilvl w:val="0"/>
          <w:numId w:val="7"/>
        </w:numPr>
        <w:ind w:left="0" w:leftChars="0" w:firstLine="420" w:firstLineChars="0"/>
        <w:jc w:val="both"/>
        <w:rPr>
          <w:rFonts w:hint="eastAsia" w:asciiTheme="majorEastAsia" w:hAnsiTheme="majorEastAsia" w:eastAsiaTheme="majorEastAsia" w:cstheme="majorEastAsia"/>
          <w:color w:val="auto"/>
          <w:sz w:val="24"/>
          <w:szCs w:val="24"/>
          <w:highlight w:val="none"/>
          <w:shd w:val="clear" w:color="auto" w:fill="FFFFFF"/>
          <w:lang w:val="en-US" w:eastAsia="zh-CN"/>
        </w:rPr>
      </w:pPr>
      <w:r>
        <w:rPr>
          <w:rFonts w:hint="eastAsia" w:asciiTheme="majorEastAsia" w:hAnsiTheme="majorEastAsia" w:eastAsiaTheme="majorEastAsia" w:cstheme="majorEastAsia"/>
          <w:color w:val="auto"/>
          <w:sz w:val="24"/>
          <w:szCs w:val="24"/>
          <w:highlight w:val="none"/>
          <w:shd w:val="clear" w:color="auto" w:fill="FFFFFF"/>
          <w:lang w:val="en-US" w:eastAsia="zh-CN"/>
        </w:rPr>
        <w:t>在明确违约责任后，中标人应在接到书面通知书起30个日历日内支付违约金、赔偿金等。</w:t>
      </w:r>
    </w:p>
    <w:p w14:paraId="171D9258">
      <w:pPr>
        <w:pStyle w:val="47"/>
        <w:widowControl w:val="0"/>
        <w:ind w:firstLine="480" w:firstLineChars="200"/>
        <w:jc w:val="both"/>
        <w:rPr>
          <w:rFonts w:hint="eastAsia" w:ascii="宋体" w:hAnsi="宋体" w:cs="宋体"/>
          <w:b/>
          <w:bCs/>
          <w:color w:val="000000"/>
          <w:sz w:val="28"/>
          <w:szCs w:val="28"/>
          <w:highlight w:val="none"/>
          <w:lang w:val="en-US" w:eastAsia="zh-CN"/>
        </w:rPr>
      </w:pPr>
      <w:r>
        <w:rPr>
          <w:rFonts w:hint="eastAsia" w:asciiTheme="majorEastAsia" w:hAnsiTheme="majorEastAsia" w:eastAsiaTheme="majorEastAsia" w:cstheme="majorEastAsia"/>
          <w:color w:val="auto"/>
          <w:sz w:val="24"/>
          <w:szCs w:val="24"/>
          <w:highlight w:val="none"/>
          <w:shd w:val="clear" w:color="auto" w:fill="FFFFFF"/>
          <w:lang w:val="en-US" w:eastAsia="zh-CN"/>
        </w:rPr>
        <w:t>10.中标人应保障采购人或使用人在使用其产品（包括但不限于软件、硬件、服务等）时不会受到第三方关于侵犯知识产权及专 利权、商 标权或工业设 计权等知识产权方面的指控，若任何第三方提出此方面指控均与采购人或使用人无关，中标人应与第三方交涉，并承担可能发生的一切法律责任、费用和后果；若采购人或使用人因此而遭致损失，则中标人应赔偿该损失。</w:t>
      </w:r>
    </w:p>
    <w:p w14:paraId="451B6B57">
      <w:pPr>
        <w:pStyle w:val="47"/>
        <w:widowControl w:val="0"/>
        <w:jc w:val="both"/>
        <w:rPr>
          <w:rFonts w:hint="eastAsia" w:ascii="宋体" w:hAnsi="宋体" w:cs="宋体"/>
          <w:b/>
          <w:bCs/>
          <w:color w:val="000000"/>
          <w:sz w:val="28"/>
          <w:szCs w:val="28"/>
          <w:highlight w:val="none"/>
          <w:lang w:val="en-US" w:eastAsia="zh-CN"/>
        </w:rPr>
      </w:pPr>
    </w:p>
    <w:p w14:paraId="08193E64">
      <w:pPr>
        <w:pStyle w:val="47"/>
        <w:widowControl w:val="0"/>
        <w:jc w:val="both"/>
        <w:rPr>
          <w:rFonts w:hint="eastAsia" w:ascii="宋体" w:hAnsi="宋体" w:cs="宋体"/>
          <w:b/>
          <w:bCs/>
          <w:color w:val="000000"/>
          <w:sz w:val="28"/>
          <w:szCs w:val="28"/>
          <w:highlight w:val="none"/>
          <w:lang w:val="en-US" w:eastAsia="zh-CN"/>
        </w:rPr>
      </w:pPr>
    </w:p>
    <w:p w14:paraId="70EDCF3E">
      <w:pPr>
        <w:rPr>
          <w:rFonts w:hint="eastAsia" w:ascii="宋体" w:hAnsi="宋体" w:cs="宋体"/>
          <w:b/>
          <w:bCs/>
          <w:color w:val="000000"/>
          <w:sz w:val="28"/>
          <w:szCs w:val="28"/>
          <w:highlight w:val="none"/>
          <w:lang w:val="en-US" w:eastAsia="zh-CN"/>
        </w:rPr>
      </w:pPr>
      <w:r>
        <w:rPr>
          <w:rFonts w:hint="eastAsia" w:ascii="宋体" w:hAnsi="宋体" w:cs="宋体"/>
          <w:b/>
          <w:bCs/>
          <w:color w:val="000000"/>
          <w:sz w:val="28"/>
          <w:szCs w:val="28"/>
          <w:highlight w:val="none"/>
          <w:lang w:val="en-US" w:eastAsia="zh-CN"/>
        </w:rPr>
        <w:br w:type="page"/>
      </w:r>
    </w:p>
    <w:p w14:paraId="564425A8">
      <w:pPr>
        <w:autoSpaceDE w:val="0"/>
        <w:autoSpaceDN w:val="0"/>
        <w:spacing w:line="560" w:lineRule="exact"/>
        <w:textAlignment w:val="bottom"/>
        <w:rPr>
          <w:rFonts w:ascii="仿宋_GB2312" w:hAnsi="仿宋_GB2312" w:eastAsia="仿宋_GB2312" w:cs="仿宋_GB2312"/>
          <w:bCs/>
          <w:sz w:val="28"/>
          <w:szCs w:val="28"/>
          <w:highlight w:val="none"/>
        </w:rPr>
      </w:pPr>
    </w:p>
    <w:p w14:paraId="2DF36A45">
      <w:pPr>
        <w:pStyle w:val="12"/>
        <w:ind w:firstLine="0"/>
        <w:jc w:val="center"/>
        <w:rPr>
          <w:highlight w:val="none"/>
        </w:rPr>
      </w:pPr>
      <w:r>
        <w:rPr>
          <w:rFonts w:hint="eastAsia"/>
          <w:b/>
          <w:sz w:val="28"/>
          <w:szCs w:val="28"/>
          <w:highlight w:val="none"/>
        </w:rPr>
        <w:t>一、投标书</w:t>
      </w:r>
    </w:p>
    <w:p w14:paraId="1B56345B">
      <w:pPr>
        <w:rPr>
          <w:rFonts w:ascii="仿宋_GB2312" w:eastAsia="仿宋_GB2312"/>
          <w:sz w:val="28"/>
          <w:szCs w:val="28"/>
          <w:highlight w:val="none"/>
        </w:rPr>
      </w:pPr>
      <w:r>
        <w:rPr>
          <w:rFonts w:hint="eastAsia" w:ascii="仿宋_GB2312" w:eastAsia="仿宋_GB2312"/>
          <w:sz w:val="28"/>
          <w:szCs w:val="28"/>
          <w:highlight w:val="none"/>
        </w:rPr>
        <w:t>致：福建省肿瘤医院</w:t>
      </w:r>
    </w:p>
    <w:p w14:paraId="34667F2F">
      <w:pPr>
        <w:rPr>
          <w:rFonts w:ascii="仿宋_GB2312" w:eastAsia="仿宋_GB2312"/>
          <w:sz w:val="28"/>
          <w:szCs w:val="28"/>
          <w:highlight w:val="none"/>
        </w:rPr>
      </w:pPr>
      <w:r>
        <w:rPr>
          <w:rFonts w:hint="eastAsia" w:ascii="仿宋_GB2312" w:eastAsia="仿宋_GB2312"/>
          <w:sz w:val="28"/>
          <w:szCs w:val="28"/>
          <w:highlight w:val="none"/>
        </w:rPr>
        <w:t>1、根据你方项目的投标须知、招标文件等内容，遵照《中华人民共和国招标投标法》等有关规定，经踏勘项目现场和研究上述招标文件的投标须知、条款、数量清单及其他有关文件后，我方愿以人民币（大写）</w:t>
      </w:r>
      <w:r>
        <w:rPr>
          <w:rFonts w:hint="eastAsia" w:ascii="仿宋_GB2312" w:eastAsia="仿宋_GB2312"/>
          <w:b/>
          <w:sz w:val="28"/>
          <w:szCs w:val="28"/>
          <w:highlight w:val="none"/>
          <w:u w:val="single"/>
        </w:rPr>
        <w:t xml:space="preserve">：      </w:t>
      </w:r>
      <w:r>
        <w:rPr>
          <w:rFonts w:hint="eastAsia" w:ascii="仿宋_GB2312" w:eastAsia="仿宋_GB2312"/>
          <w:sz w:val="28"/>
          <w:szCs w:val="28"/>
          <w:highlight w:val="none"/>
          <w:u w:val="single"/>
        </w:rPr>
        <w:t xml:space="preserve">  （小写：           ）</w:t>
      </w:r>
      <w:r>
        <w:rPr>
          <w:rFonts w:hint="eastAsia" w:ascii="仿宋_GB2312" w:eastAsia="仿宋_GB2312"/>
          <w:sz w:val="28"/>
          <w:szCs w:val="28"/>
          <w:highlight w:val="none"/>
        </w:rPr>
        <w:t>的投标报价并按上述条款、标准要求承包上述项目，并承担任何质量缺陷保修责任。</w:t>
      </w:r>
    </w:p>
    <w:p w14:paraId="06E27D36">
      <w:pPr>
        <w:ind w:firstLine="532" w:firstLineChars="190"/>
        <w:rPr>
          <w:rFonts w:ascii="仿宋_GB2312" w:eastAsia="仿宋_GB2312"/>
          <w:sz w:val="28"/>
          <w:szCs w:val="28"/>
          <w:highlight w:val="none"/>
        </w:rPr>
      </w:pPr>
      <w:r>
        <w:rPr>
          <w:rFonts w:hint="eastAsia" w:ascii="仿宋_GB2312" w:eastAsia="仿宋_GB2312"/>
          <w:sz w:val="28"/>
          <w:szCs w:val="28"/>
          <w:highlight w:val="none"/>
        </w:rPr>
        <w:t>2、我方已详细审核全部招标文件及有关附件。</w:t>
      </w:r>
    </w:p>
    <w:p w14:paraId="472AC5E7">
      <w:pPr>
        <w:ind w:firstLine="532" w:firstLineChars="190"/>
        <w:rPr>
          <w:rFonts w:ascii="仿宋_GB2312" w:eastAsia="仿宋_GB2312"/>
          <w:sz w:val="28"/>
          <w:szCs w:val="28"/>
          <w:highlight w:val="none"/>
        </w:rPr>
      </w:pPr>
      <w:r>
        <w:rPr>
          <w:rFonts w:hint="eastAsia" w:ascii="仿宋_GB2312" w:eastAsia="仿宋_GB2312"/>
          <w:sz w:val="28"/>
          <w:szCs w:val="28"/>
          <w:highlight w:val="none"/>
        </w:rPr>
        <w:t>3、一旦我方中标，我方保证质量达到</w:t>
      </w:r>
      <w:r>
        <w:rPr>
          <w:rFonts w:hint="eastAsia" w:ascii="仿宋_GB2312" w:eastAsia="仿宋_GB2312"/>
          <w:b/>
          <w:sz w:val="28"/>
          <w:szCs w:val="28"/>
          <w:highlight w:val="none"/>
          <w:u w:val="single"/>
        </w:rPr>
        <w:t>投标须知、投标文件等规定</w:t>
      </w:r>
      <w:r>
        <w:rPr>
          <w:rFonts w:hint="eastAsia" w:ascii="仿宋_GB2312" w:eastAsia="仿宋_GB2312"/>
          <w:sz w:val="28"/>
          <w:szCs w:val="28"/>
          <w:highlight w:val="none"/>
        </w:rPr>
        <w:t>标准。</w:t>
      </w:r>
    </w:p>
    <w:p w14:paraId="2E317E18">
      <w:pPr>
        <w:ind w:firstLine="532" w:firstLineChars="190"/>
        <w:rPr>
          <w:rFonts w:ascii="仿宋_GB2312" w:eastAsia="仿宋_GB2312"/>
          <w:sz w:val="28"/>
          <w:szCs w:val="28"/>
          <w:highlight w:val="none"/>
        </w:rPr>
      </w:pPr>
      <w:r>
        <w:rPr>
          <w:rFonts w:hint="eastAsia" w:ascii="仿宋_GB2312" w:eastAsia="仿宋_GB2312"/>
          <w:sz w:val="28"/>
          <w:szCs w:val="28"/>
          <w:highlight w:val="none"/>
        </w:rPr>
        <w:t>4、我方同意所提交的投标文件在招标文件的投标须知中规定的投标有效期内有效，在此期间内如果中标，我方将受此约束。</w:t>
      </w:r>
    </w:p>
    <w:p w14:paraId="5B63AA2C">
      <w:pPr>
        <w:ind w:firstLine="426"/>
        <w:rPr>
          <w:rFonts w:ascii="仿宋_GB2312" w:eastAsia="仿宋_GB2312"/>
          <w:sz w:val="28"/>
          <w:szCs w:val="28"/>
          <w:highlight w:val="none"/>
        </w:rPr>
      </w:pPr>
      <w:r>
        <w:rPr>
          <w:rFonts w:hint="eastAsia" w:ascii="仿宋_GB2312" w:eastAsia="仿宋_GB2312"/>
          <w:sz w:val="28"/>
          <w:szCs w:val="28"/>
          <w:highlight w:val="none"/>
        </w:rPr>
        <w:t>5、除非另外达成协议并生效，你方的中标通知书和本投标文件将成为约束双方的合同文件的组成部分。</w:t>
      </w:r>
    </w:p>
    <w:p w14:paraId="5936FFB0">
      <w:pPr>
        <w:ind w:firstLine="560" w:firstLineChars="200"/>
        <w:rPr>
          <w:rFonts w:ascii="仿宋_GB2312" w:eastAsia="仿宋_GB2312"/>
          <w:sz w:val="28"/>
          <w:szCs w:val="28"/>
          <w:highlight w:val="none"/>
        </w:rPr>
      </w:pPr>
      <w:r>
        <w:rPr>
          <w:rFonts w:hint="eastAsia" w:ascii="仿宋_GB2312" w:eastAsia="仿宋_GB2312"/>
          <w:sz w:val="28"/>
          <w:szCs w:val="28"/>
          <w:highlight w:val="none"/>
        </w:rPr>
        <w:t>附件：报价清单</w:t>
      </w:r>
    </w:p>
    <w:p w14:paraId="221E3776">
      <w:pPr>
        <w:spacing w:line="360" w:lineRule="exact"/>
        <w:ind w:firstLine="3220" w:firstLineChars="1150"/>
        <w:rPr>
          <w:rFonts w:ascii="仿宋_GB2312" w:eastAsia="仿宋_GB2312"/>
          <w:sz w:val="28"/>
          <w:szCs w:val="28"/>
          <w:highlight w:val="none"/>
        </w:rPr>
      </w:pPr>
      <w:r>
        <w:rPr>
          <w:rFonts w:hint="eastAsia" w:ascii="仿宋_GB2312" w:eastAsia="仿宋_GB2312"/>
          <w:sz w:val="28"/>
          <w:szCs w:val="28"/>
          <w:highlight w:val="none"/>
        </w:rPr>
        <w:t xml:space="preserve">投标人（盖章）： </w:t>
      </w:r>
    </w:p>
    <w:p w14:paraId="1A49A4A5">
      <w:pPr>
        <w:spacing w:line="360" w:lineRule="exact"/>
        <w:rPr>
          <w:rFonts w:ascii="仿宋_GB2312" w:eastAsia="仿宋_GB2312"/>
          <w:sz w:val="28"/>
          <w:szCs w:val="28"/>
          <w:highlight w:val="none"/>
        </w:rPr>
      </w:pPr>
    </w:p>
    <w:p w14:paraId="7C37CDE4">
      <w:pPr>
        <w:spacing w:line="360" w:lineRule="exact"/>
        <w:ind w:firstLine="3220" w:firstLineChars="1150"/>
        <w:rPr>
          <w:rFonts w:ascii="仿宋_GB2312" w:eastAsia="仿宋_GB2312"/>
          <w:sz w:val="28"/>
          <w:szCs w:val="28"/>
          <w:highlight w:val="none"/>
        </w:rPr>
      </w:pPr>
      <w:r>
        <w:rPr>
          <w:rFonts w:hint="eastAsia" w:ascii="仿宋_GB2312" w:eastAsia="仿宋_GB2312"/>
          <w:sz w:val="28"/>
          <w:szCs w:val="28"/>
          <w:highlight w:val="none"/>
        </w:rPr>
        <w:t xml:space="preserve">单位地址： </w:t>
      </w:r>
    </w:p>
    <w:p w14:paraId="37558B80">
      <w:pPr>
        <w:spacing w:line="360" w:lineRule="exact"/>
        <w:rPr>
          <w:rFonts w:ascii="仿宋_GB2312" w:eastAsia="仿宋_GB2312"/>
          <w:sz w:val="28"/>
          <w:szCs w:val="28"/>
          <w:highlight w:val="none"/>
        </w:rPr>
      </w:pPr>
    </w:p>
    <w:p w14:paraId="7194E077">
      <w:pPr>
        <w:spacing w:line="360" w:lineRule="exact"/>
        <w:ind w:firstLine="3220" w:firstLineChars="1150"/>
        <w:rPr>
          <w:rFonts w:ascii="仿宋_GB2312" w:eastAsia="仿宋_GB2312"/>
          <w:sz w:val="28"/>
          <w:szCs w:val="28"/>
          <w:highlight w:val="none"/>
        </w:rPr>
      </w:pPr>
      <w:r>
        <w:rPr>
          <w:rFonts w:hint="eastAsia" w:ascii="仿宋_GB2312" w:eastAsia="仿宋_GB2312"/>
          <w:sz w:val="28"/>
          <w:szCs w:val="28"/>
          <w:highlight w:val="none"/>
        </w:rPr>
        <w:t>法定代表人（签字或盖章）：</w:t>
      </w:r>
    </w:p>
    <w:p w14:paraId="57AC0C51">
      <w:pPr>
        <w:spacing w:line="360" w:lineRule="exact"/>
        <w:rPr>
          <w:rFonts w:ascii="仿宋_GB2312" w:eastAsia="仿宋_GB2312"/>
          <w:sz w:val="28"/>
          <w:szCs w:val="28"/>
          <w:highlight w:val="none"/>
        </w:rPr>
      </w:pPr>
    </w:p>
    <w:p w14:paraId="5BB2CC8D">
      <w:pPr>
        <w:spacing w:line="360" w:lineRule="exact"/>
        <w:ind w:firstLine="3220" w:firstLineChars="1150"/>
        <w:rPr>
          <w:rFonts w:ascii="仿宋_GB2312" w:eastAsia="仿宋_GB2312"/>
          <w:sz w:val="28"/>
          <w:szCs w:val="28"/>
          <w:highlight w:val="none"/>
        </w:rPr>
      </w:pPr>
      <w:r>
        <w:rPr>
          <w:rFonts w:hint="eastAsia" w:ascii="仿宋_GB2312" w:eastAsia="仿宋_GB2312"/>
          <w:sz w:val="28"/>
          <w:szCs w:val="28"/>
          <w:highlight w:val="none"/>
        </w:rPr>
        <w:t xml:space="preserve">邮政编码：         </w:t>
      </w:r>
    </w:p>
    <w:p w14:paraId="73BE8F3A">
      <w:pPr>
        <w:spacing w:line="360" w:lineRule="exact"/>
        <w:ind w:firstLine="3220" w:firstLineChars="1150"/>
        <w:rPr>
          <w:rFonts w:ascii="仿宋_GB2312" w:eastAsia="仿宋_GB2312"/>
          <w:sz w:val="28"/>
          <w:szCs w:val="28"/>
          <w:highlight w:val="none"/>
        </w:rPr>
      </w:pPr>
    </w:p>
    <w:p w14:paraId="032A4355">
      <w:pPr>
        <w:spacing w:line="360" w:lineRule="exact"/>
        <w:ind w:firstLine="3220" w:firstLineChars="1150"/>
        <w:rPr>
          <w:rFonts w:ascii="仿宋_GB2312" w:eastAsia="仿宋_GB2312"/>
          <w:sz w:val="28"/>
          <w:szCs w:val="28"/>
          <w:highlight w:val="none"/>
        </w:rPr>
      </w:pPr>
      <w:r>
        <w:rPr>
          <w:rFonts w:hint="eastAsia" w:ascii="仿宋_GB2312" w:eastAsia="仿宋_GB2312"/>
          <w:sz w:val="28"/>
          <w:szCs w:val="28"/>
          <w:highlight w:val="none"/>
        </w:rPr>
        <w:t xml:space="preserve">电话：       </w:t>
      </w:r>
    </w:p>
    <w:p w14:paraId="3718965E">
      <w:pPr>
        <w:spacing w:line="360" w:lineRule="exact"/>
        <w:ind w:firstLine="3220" w:firstLineChars="1150"/>
        <w:rPr>
          <w:rFonts w:ascii="仿宋_GB2312" w:eastAsia="仿宋_GB2312"/>
          <w:sz w:val="28"/>
          <w:szCs w:val="28"/>
          <w:highlight w:val="none"/>
        </w:rPr>
      </w:pPr>
    </w:p>
    <w:p w14:paraId="3853653F">
      <w:pPr>
        <w:spacing w:line="360" w:lineRule="exact"/>
        <w:ind w:firstLine="3220" w:firstLineChars="1150"/>
        <w:rPr>
          <w:rFonts w:ascii="仿宋_GB2312" w:eastAsia="仿宋_GB2312"/>
          <w:sz w:val="28"/>
          <w:szCs w:val="28"/>
          <w:highlight w:val="none"/>
        </w:rPr>
      </w:pPr>
      <w:r>
        <w:rPr>
          <w:rFonts w:hint="eastAsia" w:ascii="仿宋_GB2312" w:eastAsia="仿宋_GB2312"/>
          <w:sz w:val="28"/>
          <w:szCs w:val="28"/>
          <w:highlight w:val="none"/>
        </w:rPr>
        <w:t xml:space="preserve">传真：  </w:t>
      </w:r>
    </w:p>
    <w:p w14:paraId="05C15048">
      <w:pPr>
        <w:spacing w:line="360" w:lineRule="exact"/>
        <w:rPr>
          <w:rFonts w:ascii="仿宋_GB2312" w:eastAsia="仿宋_GB2312"/>
          <w:sz w:val="28"/>
          <w:szCs w:val="28"/>
          <w:highlight w:val="none"/>
        </w:rPr>
      </w:pPr>
    </w:p>
    <w:p w14:paraId="62D67507">
      <w:pPr>
        <w:spacing w:line="360" w:lineRule="exact"/>
        <w:ind w:firstLine="3220" w:firstLineChars="1150"/>
        <w:rPr>
          <w:rFonts w:ascii="仿宋_GB2312" w:eastAsia="仿宋_GB2312"/>
          <w:sz w:val="28"/>
          <w:szCs w:val="28"/>
          <w:highlight w:val="none"/>
        </w:rPr>
      </w:pPr>
      <w:r>
        <w:rPr>
          <w:rFonts w:hint="eastAsia" w:ascii="仿宋_GB2312" w:eastAsia="仿宋_GB2312"/>
          <w:sz w:val="28"/>
          <w:szCs w:val="28"/>
          <w:highlight w:val="none"/>
        </w:rPr>
        <w:t xml:space="preserve">开户银行名称： </w:t>
      </w:r>
    </w:p>
    <w:p w14:paraId="4EC7EE00">
      <w:pPr>
        <w:spacing w:line="360" w:lineRule="exact"/>
        <w:rPr>
          <w:rFonts w:ascii="仿宋_GB2312" w:eastAsia="仿宋_GB2312"/>
          <w:sz w:val="28"/>
          <w:szCs w:val="28"/>
          <w:highlight w:val="none"/>
        </w:rPr>
      </w:pPr>
    </w:p>
    <w:p w14:paraId="2C498EB0">
      <w:pPr>
        <w:spacing w:line="360" w:lineRule="exact"/>
        <w:ind w:firstLine="3220" w:firstLineChars="1150"/>
        <w:rPr>
          <w:rFonts w:ascii="仿宋_GB2312" w:eastAsia="仿宋_GB2312"/>
          <w:sz w:val="28"/>
          <w:szCs w:val="28"/>
          <w:highlight w:val="none"/>
        </w:rPr>
      </w:pPr>
      <w:r>
        <w:rPr>
          <w:rFonts w:hint="eastAsia" w:ascii="仿宋_GB2312" w:eastAsia="仿宋_GB2312"/>
          <w:sz w:val="28"/>
          <w:szCs w:val="28"/>
          <w:highlight w:val="none"/>
        </w:rPr>
        <w:t xml:space="preserve">开户银行帐号： </w:t>
      </w:r>
    </w:p>
    <w:p w14:paraId="20A80C94">
      <w:pPr>
        <w:spacing w:line="360" w:lineRule="exact"/>
        <w:rPr>
          <w:rFonts w:ascii="仿宋_GB2312" w:eastAsia="仿宋_GB2312"/>
          <w:sz w:val="28"/>
          <w:szCs w:val="28"/>
          <w:highlight w:val="none"/>
        </w:rPr>
      </w:pPr>
    </w:p>
    <w:p w14:paraId="06635F94">
      <w:pPr>
        <w:spacing w:line="360" w:lineRule="exact"/>
        <w:jc w:val="center"/>
        <w:rPr>
          <w:rFonts w:ascii="仿宋_GB2312" w:eastAsia="仿宋_GB2312"/>
          <w:sz w:val="28"/>
          <w:szCs w:val="28"/>
          <w:highlight w:val="none"/>
        </w:rPr>
      </w:pPr>
      <w:r>
        <w:rPr>
          <w:rFonts w:hint="eastAsia" w:ascii="仿宋_GB2312" w:eastAsia="仿宋_GB2312"/>
          <w:sz w:val="28"/>
          <w:szCs w:val="28"/>
          <w:highlight w:val="none"/>
        </w:rPr>
        <w:t>开户银行地址：</w:t>
      </w:r>
    </w:p>
    <w:p w14:paraId="2DE6DBEB">
      <w:pPr>
        <w:spacing w:line="360" w:lineRule="exact"/>
        <w:rPr>
          <w:rFonts w:ascii="仿宋_GB2312" w:eastAsia="仿宋_GB2312"/>
          <w:sz w:val="28"/>
          <w:szCs w:val="28"/>
          <w:highlight w:val="none"/>
        </w:rPr>
      </w:pPr>
    </w:p>
    <w:p w14:paraId="66ADB661">
      <w:pPr>
        <w:spacing w:line="360" w:lineRule="exact"/>
        <w:ind w:firstLine="3220" w:firstLineChars="1150"/>
        <w:rPr>
          <w:rFonts w:ascii="仿宋_GB2312" w:eastAsia="仿宋_GB2312"/>
          <w:sz w:val="28"/>
          <w:szCs w:val="28"/>
          <w:highlight w:val="none"/>
        </w:rPr>
      </w:pPr>
      <w:r>
        <w:rPr>
          <w:rFonts w:hint="eastAsia" w:ascii="仿宋_GB2312" w:eastAsia="仿宋_GB2312"/>
          <w:sz w:val="28"/>
          <w:szCs w:val="28"/>
          <w:highlight w:val="none"/>
        </w:rPr>
        <w:t xml:space="preserve">开户银行电话： </w:t>
      </w:r>
    </w:p>
    <w:p w14:paraId="1B861BA3">
      <w:pPr>
        <w:spacing w:line="360" w:lineRule="exact"/>
        <w:ind w:firstLine="600"/>
        <w:rPr>
          <w:rFonts w:ascii="仿宋_GB2312" w:eastAsia="仿宋_GB2312"/>
          <w:sz w:val="28"/>
          <w:szCs w:val="28"/>
          <w:highlight w:val="none"/>
        </w:rPr>
      </w:pPr>
    </w:p>
    <w:p w14:paraId="17C30586">
      <w:pPr>
        <w:spacing w:line="360" w:lineRule="exact"/>
        <w:jc w:val="right"/>
        <w:rPr>
          <w:rFonts w:ascii="仿宋_GB2312" w:eastAsia="仿宋_GB2312"/>
          <w:sz w:val="28"/>
          <w:szCs w:val="28"/>
          <w:highlight w:val="none"/>
        </w:rPr>
      </w:pPr>
      <w:r>
        <w:rPr>
          <w:rFonts w:hint="eastAsia" w:ascii="仿宋_GB2312" w:eastAsia="仿宋_GB2312"/>
          <w:sz w:val="28"/>
          <w:szCs w:val="28"/>
          <w:highlight w:val="none"/>
        </w:rPr>
        <w:t>日期：   年   月    日</w:t>
      </w:r>
    </w:p>
    <w:p w14:paraId="160AFFDD">
      <w:pPr>
        <w:rPr>
          <w:rFonts w:ascii="仿宋_GB2312" w:eastAsia="仿宋_GB2312"/>
          <w:sz w:val="28"/>
          <w:szCs w:val="28"/>
          <w:highlight w:val="none"/>
        </w:rPr>
      </w:pPr>
    </w:p>
    <w:p w14:paraId="7DD2CEBB">
      <w:pPr>
        <w:rPr>
          <w:rFonts w:ascii="仿宋_GB2312" w:eastAsia="仿宋_GB2312"/>
          <w:sz w:val="28"/>
          <w:szCs w:val="28"/>
          <w:highlight w:val="none"/>
        </w:rPr>
      </w:pPr>
      <w:r>
        <w:rPr>
          <w:rFonts w:hint="eastAsia" w:ascii="仿宋_GB2312" w:eastAsia="仿宋_GB2312"/>
          <w:sz w:val="28"/>
          <w:szCs w:val="28"/>
          <w:highlight w:val="none"/>
        </w:rPr>
        <w:t>附件：投标报价清单</w:t>
      </w:r>
    </w:p>
    <w:p w14:paraId="34BBC3ED">
      <w:pPr>
        <w:rPr>
          <w:sz w:val="28"/>
          <w:szCs w:val="28"/>
          <w:highlight w:val="none"/>
        </w:rPr>
      </w:pPr>
    </w:p>
    <w:tbl>
      <w:tblPr>
        <w:tblStyle w:val="22"/>
        <w:tblW w:w="0" w:type="auto"/>
        <w:jc w:val="center"/>
        <w:tblLayout w:type="fixed"/>
        <w:tblCellMar>
          <w:top w:w="0" w:type="dxa"/>
          <w:left w:w="108" w:type="dxa"/>
          <w:bottom w:w="0" w:type="dxa"/>
          <w:right w:w="108" w:type="dxa"/>
        </w:tblCellMar>
      </w:tblPr>
      <w:tblGrid>
        <w:gridCol w:w="629"/>
        <w:gridCol w:w="4399"/>
        <w:gridCol w:w="1417"/>
        <w:gridCol w:w="1440"/>
      </w:tblGrid>
      <w:tr w14:paraId="1551126E">
        <w:tblPrEx>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000000" w:sz="4" w:space="0"/>
              <w:right w:val="single" w:color="auto" w:sz="4" w:space="0"/>
            </w:tcBorders>
            <w:shd w:val="clear" w:color="FFFFFF" w:fill="auto"/>
            <w:vAlign w:val="center"/>
          </w:tcPr>
          <w:p w14:paraId="3290F21D">
            <w:pPr>
              <w:jc w:val="center"/>
              <w:rPr>
                <w:rFonts w:ascii="宋体" w:hAnsi="宋体" w:eastAsia="仿宋_GB2312" w:cs="Arial"/>
                <w:sz w:val="28"/>
                <w:szCs w:val="28"/>
                <w:highlight w:val="none"/>
              </w:rPr>
            </w:pPr>
          </w:p>
        </w:tc>
        <w:tc>
          <w:tcPr>
            <w:tcW w:w="4399" w:type="dxa"/>
            <w:tcBorders>
              <w:top w:val="single" w:color="auto" w:sz="4" w:space="0"/>
              <w:left w:val="single" w:color="000000" w:sz="4" w:space="0"/>
              <w:bottom w:val="single" w:color="000000" w:sz="4" w:space="0"/>
              <w:right w:val="single" w:color="000000" w:sz="4" w:space="0"/>
            </w:tcBorders>
            <w:shd w:val="clear" w:color="FFFFFF" w:fill="auto"/>
            <w:vAlign w:val="center"/>
          </w:tcPr>
          <w:p w14:paraId="57FB7D0F">
            <w:pPr>
              <w:jc w:val="center"/>
              <w:rPr>
                <w:rFonts w:ascii="宋体" w:hAnsi="宋体" w:eastAsia="仿宋_GB2312" w:cs="Arial"/>
                <w:sz w:val="28"/>
                <w:szCs w:val="28"/>
                <w:highlight w:val="none"/>
              </w:rPr>
            </w:pPr>
          </w:p>
        </w:tc>
        <w:tc>
          <w:tcPr>
            <w:tcW w:w="1417" w:type="dxa"/>
            <w:tcBorders>
              <w:top w:val="single" w:color="auto" w:sz="4" w:space="0"/>
              <w:left w:val="single" w:color="000000" w:sz="4" w:space="0"/>
              <w:bottom w:val="single" w:color="000000" w:sz="4" w:space="0"/>
              <w:right w:val="single" w:color="auto" w:sz="4" w:space="0"/>
            </w:tcBorders>
            <w:shd w:val="clear" w:color="FFFFFF" w:fill="auto"/>
            <w:vAlign w:val="center"/>
          </w:tcPr>
          <w:p w14:paraId="6D9FD8D9">
            <w:pPr>
              <w:jc w:val="center"/>
              <w:rPr>
                <w:rFonts w:ascii="宋体" w:hAnsi="宋体" w:eastAsia="仿宋_GB2312" w:cs="Arial"/>
                <w:sz w:val="28"/>
                <w:szCs w:val="28"/>
                <w:highlight w:val="none"/>
              </w:rPr>
            </w:pPr>
          </w:p>
        </w:tc>
        <w:tc>
          <w:tcPr>
            <w:tcW w:w="1440" w:type="dxa"/>
            <w:tcBorders>
              <w:top w:val="single" w:color="auto" w:sz="4" w:space="0"/>
              <w:left w:val="single" w:color="000000" w:sz="4" w:space="0"/>
              <w:bottom w:val="single" w:color="000000" w:sz="4" w:space="0"/>
              <w:right w:val="single" w:color="auto" w:sz="4" w:space="0"/>
            </w:tcBorders>
            <w:shd w:val="clear" w:color="FFFFFF" w:fill="auto"/>
            <w:vAlign w:val="center"/>
          </w:tcPr>
          <w:p w14:paraId="1D5D906F">
            <w:pPr>
              <w:jc w:val="center"/>
              <w:rPr>
                <w:rFonts w:ascii="宋体" w:hAnsi="宋体" w:eastAsia="仿宋_GB2312" w:cs="Arial"/>
                <w:sz w:val="28"/>
                <w:szCs w:val="28"/>
                <w:highlight w:val="none"/>
              </w:rPr>
            </w:pPr>
          </w:p>
        </w:tc>
      </w:tr>
      <w:tr w14:paraId="018EC157">
        <w:tblPrEx>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vAlign w:val="center"/>
          </w:tcPr>
          <w:p w14:paraId="0AC92E45">
            <w:pPr>
              <w:jc w:val="center"/>
              <w:rPr>
                <w:rFonts w:ascii="宋体" w:hAnsi="宋体" w:eastAsia="仿宋_GB2312" w:cs="Arial"/>
                <w:sz w:val="28"/>
                <w:szCs w:val="28"/>
                <w:highlight w:val="none"/>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vAlign w:val="center"/>
          </w:tcPr>
          <w:p w14:paraId="58C3EBE0">
            <w:pPr>
              <w:pStyle w:val="18"/>
              <w:shd w:val="clear" w:color="auto" w:fill="FFFFFF"/>
              <w:spacing w:line="304" w:lineRule="atLeast"/>
              <w:rPr>
                <w:rFonts w:ascii="仿宋_GB2312" w:hAnsi="inherit" w:eastAsia="仿宋_GB2312" w:cs="宋体"/>
                <w:kern w:val="2"/>
                <w:sz w:val="28"/>
                <w:szCs w:val="28"/>
                <w:highlight w:val="none"/>
              </w:rPr>
            </w:pPr>
          </w:p>
        </w:tc>
        <w:tc>
          <w:tcPr>
            <w:tcW w:w="1417" w:type="dxa"/>
            <w:tcBorders>
              <w:top w:val="single" w:color="auto" w:sz="4" w:space="0"/>
              <w:left w:val="single" w:color="000000" w:sz="4" w:space="0"/>
              <w:bottom w:val="single" w:color="auto" w:sz="4" w:space="0"/>
              <w:right w:val="single" w:color="auto" w:sz="4" w:space="0"/>
            </w:tcBorders>
            <w:shd w:val="clear" w:color="FFFFFF" w:fill="auto"/>
          </w:tcPr>
          <w:p w14:paraId="20FA5867">
            <w:pPr>
              <w:jc w:val="center"/>
              <w:rPr>
                <w:rFonts w:ascii="宋体" w:hAnsi="宋体" w:eastAsia="仿宋_GB2312" w:cs="Arial"/>
                <w:sz w:val="28"/>
                <w:szCs w:val="28"/>
                <w:highlight w:val="none"/>
              </w:rPr>
            </w:pPr>
          </w:p>
        </w:tc>
        <w:tc>
          <w:tcPr>
            <w:tcW w:w="1440" w:type="dxa"/>
            <w:tcBorders>
              <w:top w:val="single" w:color="auto" w:sz="4" w:space="0"/>
              <w:left w:val="single" w:color="000000" w:sz="4" w:space="0"/>
              <w:bottom w:val="single" w:color="auto" w:sz="4" w:space="0"/>
              <w:right w:val="single" w:color="auto" w:sz="4" w:space="0"/>
            </w:tcBorders>
            <w:shd w:val="clear" w:color="FFFFFF" w:fill="auto"/>
          </w:tcPr>
          <w:p w14:paraId="4CC29795">
            <w:pPr>
              <w:jc w:val="center"/>
              <w:rPr>
                <w:rFonts w:ascii="宋体" w:hAnsi="宋体" w:eastAsia="仿宋_GB2312" w:cs="Arial"/>
                <w:sz w:val="28"/>
                <w:szCs w:val="28"/>
                <w:highlight w:val="none"/>
              </w:rPr>
            </w:pPr>
          </w:p>
        </w:tc>
      </w:tr>
      <w:tr w14:paraId="4C1E20D7">
        <w:tblPrEx>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vAlign w:val="center"/>
          </w:tcPr>
          <w:p w14:paraId="5DB3A9AE">
            <w:pPr>
              <w:jc w:val="center"/>
              <w:rPr>
                <w:rFonts w:ascii="宋体" w:hAnsi="宋体" w:eastAsia="仿宋_GB2312" w:cs="Arial"/>
                <w:sz w:val="28"/>
                <w:szCs w:val="28"/>
                <w:highlight w:val="none"/>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vAlign w:val="center"/>
          </w:tcPr>
          <w:p w14:paraId="41E94F0E">
            <w:pPr>
              <w:pStyle w:val="18"/>
              <w:shd w:val="clear" w:color="auto" w:fill="FFFFFF"/>
              <w:spacing w:line="304" w:lineRule="atLeast"/>
              <w:rPr>
                <w:rFonts w:ascii="仿宋_GB2312" w:hAnsi="inherit" w:eastAsia="仿宋_GB2312" w:cs="宋体"/>
                <w:kern w:val="2"/>
                <w:sz w:val="28"/>
                <w:szCs w:val="28"/>
                <w:highlight w:val="none"/>
              </w:rPr>
            </w:pPr>
          </w:p>
        </w:tc>
        <w:tc>
          <w:tcPr>
            <w:tcW w:w="1417" w:type="dxa"/>
            <w:tcBorders>
              <w:top w:val="single" w:color="auto" w:sz="4" w:space="0"/>
              <w:left w:val="single" w:color="000000" w:sz="4" w:space="0"/>
              <w:bottom w:val="single" w:color="auto" w:sz="4" w:space="0"/>
              <w:right w:val="single" w:color="auto" w:sz="4" w:space="0"/>
            </w:tcBorders>
            <w:shd w:val="clear" w:color="FFFFFF" w:fill="auto"/>
          </w:tcPr>
          <w:p w14:paraId="5249318D">
            <w:pPr>
              <w:jc w:val="center"/>
              <w:rPr>
                <w:rFonts w:ascii="宋体" w:hAnsi="宋体" w:eastAsia="仿宋_GB2312" w:cs="Arial"/>
                <w:sz w:val="28"/>
                <w:szCs w:val="28"/>
                <w:highlight w:val="none"/>
              </w:rPr>
            </w:pPr>
          </w:p>
        </w:tc>
        <w:tc>
          <w:tcPr>
            <w:tcW w:w="1440" w:type="dxa"/>
            <w:tcBorders>
              <w:top w:val="single" w:color="auto" w:sz="4" w:space="0"/>
              <w:left w:val="single" w:color="000000" w:sz="4" w:space="0"/>
              <w:bottom w:val="single" w:color="auto" w:sz="4" w:space="0"/>
              <w:right w:val="single" w:color="auto" w:sz="4" w:space="0"/>
            </w:tcBorders>
            <w:shd w:val="clear" w:color="FFFFFF" w:fill="auto"/>
          </w:tcPr>
          <w:p w14:paraId="30EA9186">
            <w:pPr>
              <w:jc w:val="center"/>
              <w:rPr>
                <w:rFonts w:ascii="宋体" w:hAnsi="宋体" w:eastAsia="仿宋_GB2312" w:cs="Arial"/>
                <w:sz w:val="28"/>
                <w:szCs w:val="28"/>
                <w:highlight w:val="none"/>
              </w:rPr>
            </w:pPr>
          </w:p>
        </w:tc>
      </w:tr>
    </w:tbl>
    <w:p w14:paraId="4DB8A529">
      <w:pPr>
        <w:jc w:val="center"/>
        <w:rPr>
          <w:sz w:val="28"/>
          <w:szCs w:val="28"/>
          <w:highlight w:val="none"/>
        </w:rPr>
      </w:pPr>
    </w:p>
    <w:p w14:paraId="25740C8F">
      <w:pPr>
        <w:jc w:val="center"/>
        <w:rPr>
          <w:b/>
          <w:sz w:val="28"/>
          <w:szCs w:val="28"/>
          <w:highlight w:val="none"/>
        </w:rPr>
      </w:pPr>
      <w:r>
        <w:rPr>
          <w:rFonts w:hint="eastAsia"/>
          <w:b/>
          <w:sz w:val="28"/>
          <w:szCs w:val="28"/>
          <w:highlight w:val="none"/>
        </w:rPr>
        <w:t>二、投标委托代表人资格证明书</w:t>
      </w:r>
    </w:p>
    <w:p w14:paraId="471947CA">
      <w:pPr>
        <w:rPr>
          <w:sz w:val="28"/>
          <w:szCs w:val="28"/>
          <w:highlight w:val="none"/>
        </w:rPr>
      </w:pPr>
    </w:p>
    <w:p w14:paraId="3714A033">
      <w:pPr>
        <w:spacing w:line="360" w:lineRule="auto"/>
        <w:rPr>
          <w:rFonts w:ascii="仿宋_GB2312" w:eastAsia="仿宋_GB2312"/>
          <w:sz w:val="28"/>
          <w:szCs w:val="28"/>
          <w:highlight w:val="none"/>
          <w:u w:val="single"/>
        </w:rPr>
      </w:pPr>
      <w:r>
        <w:rPr>
          <w:rFonts w:hint="eastAsia" w:ascii="仿宋_GB2312" w:eastAsia="仿宋_GB2312"/>
          <w:sz w:val="28"/>
          <w:szCs w:val="28"/>
          <w:highlight w:val="none"/>
        </w:rPr>
        <w:t>单位名称：</w:t>
      </w:r>
    </w:p>
    <w:p w14:paraId="2558BC38">
      <w:pPr>
        <w:spacing w:line="360" w:lineRule="auto"/>
        <w:rPr>
          <w:rFonts w:ascii="仿宋_GB2312" w:eastAsia="仿宋_GB2312"/>
          <w:sz w:val="28"/>
          <w:szCs w:val="28"/>
          <w:highlight w:val="none"/>
          <w:u w:val="single"/>
        </w:rPr>
      </w:pPr>
      <w:r>
        <w:rPr>
          <w:rFonts w:hint="eastAsia" w:ascii="仿宋_GB2312" w:eastAsia="仿宋_GB2312"/>
          <w:sz w:val="28"/>
          <w:szCs w:val="28"/>
          <w:highlight w:val="none"/>
        </w:rPr>
        <w:t>地址：</w:t>
      </w:r>
    </w:p>
    <w:p w14:paraId="203FC9E1">
      <w:pPr>
        <w:spacing w:line="360" w:lineRule="auto"/>
        <w:rPr>
          <w:rFonts w:ascii="仿宋_GB2312" w:eastAsia="仿宋_GB2312"/>
          <w:sz w:val="28"/>
          <w:szCs w:val="28"/>
          <w:highlight w:val="none"/>
        </w:rPr>
      </w:pPr>
      <w:r>
        <w:rPr>
          <w:rFonts w:hint="eastAsia" w:ascii="仿宋_GB2312" w:eastAsia="仿宋_GB2312"/>
          <w:sz w:val="28"/>
          <w:szCs w:val="28"/>
          <w:highlight w:val="none"/>
        </w:rPr>
        <w:t>姓名：    性别：年龄：  职务：   系委托代表人。为施工、竣工和保修项目，签署上述项目的投标文件、进行合同谈判、签署合同和处理与之有关的一切事务。</w:t>
      </w:r>
    </w:p>
    <w:p w14:paraId="33E87984">
      <w:pPr>
        <w:spacing w:line="360" w:lineRule="auto"/>
        <w:rPr>
          <w:rFonts w:ascii="仿宋_GB2312" w:eastAsia="仿宋_GB2312"/>
          <w:sz w:val="28"/>
          <w:szCs w:val="28"/>
          <w:highlight w:val="none"/>
        </w:rPr>
      </w:pPr>
    </w:p>
    <w:p w14:paraId="7FAAEB88">
      <w:pPr>
        <w:spacing w:line="360" w:lineRule="auto"/>
        <w:ind w:firstLine="5460" w:firstLineChars="1950"/>
        <w:rPr>
          <w:rFonts w:ascii="仿宋_GB2312" w:eastAsia="仿宋_GB2312"/>
          <w:sz w:val="28"/>
          <w:szCs w:val="28"/>
          <w:highlight w:val="none"/>
        </w:rPr>
      </w:pPr>
      <w:r>
        <w:rPr>
          <w:rFonts w:hint="eastAsia" w:ascii="仿宋_GB2312" w:eastAsia="仿宋_GB2312"/>
          <w:sz w:val="28"/>
          <w:szCs w:val="28"/>
          <w:highlight w:val="none"/>
        </w:rPr>
        <w:t xml:space="preserve">投标人（盖章）：   </w:t>
      </w:r>
    </w:p>
    <w:p w14:paraId="2EBB78A1">
      <w:pPr>
        <w:spacing w:line="360" w:lineRule="auto"/>
        <w:ind w:firstLine="5740" w:firstLineChars="2050"/>
        <w:rPr>
          <w:rFonts w:ascii="仿宋_GB2312" w:eastAsia="仿宋_GB2312"/>
          <w:sz w:val="28"/>
          <w:szCs w:val="28"/>
          <w:highlight w:val="none"/>
        </w:rPr>
      </w:pPr>
      <w:r>
        <w:rPr>
          <w:rFonts w:hint="eastAsia" w:ascii="仿宋_GB2312" w:eastAsia="仿宋_GB2312"/>
          <w:sz w:val="28"/>
          <w:szCs w:val="28"/>
          <w:highlight w:val="none"/>
        </w:rPr>
        <w:t>年   月  日</w:t>
      </w:r>
    </w:p>
    <w:p w14:paraId="3B310AF1">
      <w:pPr>
        <w:jc w:val="center"/>
        <w:rPr>
          <w:b/>
          <w:sz w:val="28"/>
          <w:szCs w:val="28"/>
          <w:highlight w:val="none"/>
        </w:rPr>
      </w:pPr>
    </w:p>
    <w:p w14:paraId="3D059084">
      <w:pPr>
        <w:jc w:val="center"/>
        <w:rPr>
          <w:b/>
          <w:sz w:val="28"/>
          <w:szCs w:val="28"/>
          <w:highlight w:val="none"/>
        </w:rPr>
      </w:pPr>
    </w:p>
    <w:p w14:paraId="09E5864F">
      <w:pPr>
        <w:jc w:val="center"/>
        <w:rPr>
          <w:b/>
          <w:sz w:val="28"/>
          <w:szCs w:val="28"/>
          <w:highlight w:val="none"/>
        </w:rPr>
      </w:pPr>
      <w:r>
        <w:rPr>
          <w:rFonts w:hint="eastAsia"/>
          <w:b/>
          <w:sz w:val="28"/>
          <w:szCs w:val="28"/>
          <w:highlight w:val="none"/>
        </w:rPr>
        <w:t>三、投标承诺书</w:t>
      </w:r>
    </w:p>
    <w:p w14:paraId="269DB1C4">
      <w:pPr>
        <w:tabs>
          <w:tab w:val="left" w:pos="5355"/>
        </w:tabs>
        <w:spacing w:before="100" w:beforeAutospacing="1" w:after="100" w:afterAutospacing="1" w:line="480" w:lineRule="auto"/>
        <w:ind w:firstLine="560" w:firstLineChars="200"/>
        <w:rPr>
          <w:rFonts w:ascii="仿宋_GB2312" w:hAnsi="宋体" w:eastAsia="仿宋_GB2312" w:cs="宋体"/>
          <w:bCs/>
          <w:sz w:val="28"/>
          <w:szCs w:val="28"/>
          <w:highlight w:val="none"/>
        </w:rPr>
      </w:pPr>
      <w:r>
        <w:rPr>
          <w:rFonts w:hint="eastAsia" w:ascii="仿宋_GB2312" w:hAnsi="宋体" w:eastAsia="仿宋_GB2312" w:cs="宋体"/>
          <w:bCs/>
          <w:sz w:val="28"/>
          <w:szCs w:val="28"/>
          <w:highlight w:val="none"/>
        </w:rPr>
        <w:t>我司承诺对项目的院内公开招标最终确定的综合评定最优结果表示认可，并承诺不会对福建省肿瘤医院在本项目招标过程中的工作模式以及终止本项目招标的可能提出疑议。</w:t>
      </w:r>
    </w:p>
    <w:p w14:paraId="24C4FBED">
      <w:pPr>
        <w:tabs>
          <w:tab w:val="left" w:pos="5355"/>
        </w:tabs>
        <w:spacing w:before="100" w:beforeAutospacing="1" w:after="100" w:afterAutospacing="1" w:line="480" w:lineRule="auto"/>
        <w:ind w:firstLine="560" w:firstLineChars="200"/>
        <w:rPr>
          <w:rFonts w:ascii="仿宋_GB2312" w:hAnsi="宋体" w:eastAsia="仿宋_GB2312" w:cs="宋体"/>
          <w:sz w:val="28"/>
          <w:szCs w:val="28"/>
          <w:highlight w:val="none"/>
        </w:rPr>
      </w:pPr>
      <w:r>
        <w:rPr>
          <w:rFonts w:hint="eastAsia" w:ascii="仿宋_GB2312" w:hAnsi="宋体" w:eastAsia="仿宋_GB2312" w:cs="宋体"/>
          <w:bCs/>
          <w:sz w:val="28"/>
          <w:szCs w:val="28"/>
          <w:highlight w:val="none"/>
        </w:rPr>
        <w:t>我司承诺本投标所有的相关承诺书、投标文件等都作为本项目合同不可分割的部分，并承诺本项目合同、承诺书、投标书、方案等相关资料中发生歧义、冲突的条款、指标均以福建省肿瘤医院解释或要求为标准。投标人承诺中标后能够完全配合本项目施工的进度开展工作。</w:t>
      </w:r>
    </w:p>
    <w:p w14:paraId="6D2EC851">
      <w:pPr>
        <w:tabs>
          <w:tab w:val="left" w:pos="5355"/>
        </w:tabs>
        <w:spacing w:before="100" w:beforeAutospacing="1" w:after="100" w:afterAutospacing="1" w:line="480" w:lineRule="auto"/>
        <w:ind w:firstLine="560" w:firstLineChars="200"/>
        <w:rPr>
          <w:rFonts w:ascii="仿宋_GB2312" w:hAnsi="宋体" w:eastAsia="仿宋_GB2312" w:cs="宋体"/>
          <w:sz w:val="28"/>
          <w:szCs w:val="28"/>
          <w:highlight w:val="none"/>
        </w:rPr>
      </w:pPr>
      <w:r>
        <w:rPr>
          <w:rFonts w:hint="eastAsia" w:ascii="仿宋_GB2312" w:hAnsi="宋体" w:eastAsia="仿宋_GB2312" w:cs="宋体"/>
          <w:bCs/>
          <w:sz w:val="28"/>
          <w:szCs w:val="28"/>
          <w:highlight w:val="none"/>
        </w:rPr>
        <w:t>我司承诺福建省肿瘤医院在授予我司合同时有权利增加补充相关内容。</w:t>
      </w:r>
    </w:p>
    <w:p w14:paraId="224A2E52">
      <w:pPr>
        <w:tabs>
          <w:tab w:val="left" w:pos="5355"/>
        </w:tabs>
        <w:spacing w:before="100" w:beforeAutospacing="1" w:after="100" w:afterAutospacing="1" w:line="480" w:lineRule="auto"/>
        <w:rPr>
          <w:rFonts w:ascii="仿宋_GB2312" w:hAnsi="宋体" w:eastAsia="仿宋_GB2312" w:cs="宋体"/>
          <w:sz w:val="28"/>
          <w:szCs w:val="28"/>
          <w:highlight w:val="none"/>
        </w:rPr>
      </w:pPr>
      <w:r>
        <w:rPr>
          <w:rFonts w:hint="eastAsia" w:ascii="仿宋_GB2312" w:hAnsi="宋体" w:eastAsia="仿宋_GB2312" w:cs="宋体"/>
          <w:sz w:val="28"/>
          <w:szCs w:val="28"/>
          <w:highlight w:val="none"/>
        </w:rPr>
        <w:t>投标人名称（全称并加公章）：</w:t>
      </w:r>
    </w:p>
    <w:p w14:paraId="3192F82D">
      <w:pPr>
        <w:tabs>
          <w:tab w:val="left" w:pos="5355"/>
        </w:tabs>
        <w:spacing w:before="100" w:beforeAutospacing="1" w:after="100" w:afterAutospacing="1" w:line="480" w:lineRule="auto"/>
        <w:rPr>
          <w:rFonts w:ascii="仿宋_GB2312" w:hAnsi="宋体" w:eastAsia="仿宋_GB2312" w:cs="宋体"/>
          <w:sz w:val="28"/>
          <w:szCs w:val="28"/>
          <w:highlight w:val="none"/>
        </w:rPr>
      </w:pPr>
      <w:r>
        <w:rPr>
          <w:rFonts w:hint="eastAsia" w:ascii="仿宋_GB2312" w:hAnsi="宋体" w:eastAsia="仿宋_GB2312" w:cs="宋体"/>
          <w:sz w:val="28"/>
          <w:szCs w:val="28"/>
          <w:highlight w:val="none"/>
        </w:rPr>
        <w:t>投标人代表签字：</w:t>
      </w:r>
    </w:p>
    <w:p w14:paraId="6A143403">
      <w:pPr>
        <w:tabs>
          <w:tab w:val="left" w:pos="5355"/>
        </w:tabs>
        <w:spacing w:before="100" w:beforeAutospacing="1" w:after="100" w:afterAutospacing="1" w:line="480" w:lineRule="auto"/>
        <w:rPr>
          <w:b/>
          <w:sz w:val="28"/>
          <w:szCs w:val="28"/>
          <w:highlight w:val="none"/>
        </w:rPr>
      </w:pPr>
      <w:r>
        <w:rPr>
          <w:rFonts w:hint="eastAsia" w:ascii="仿宋_GB2312" w:hAnsi="宋体" w:eastAsia="仿宋_GB2312" w:cs="宋体"/>
          <w:sz w:val="28"/>
          <w:szCs w:val="28"/>
          <w:highlight w:val="none"/>
        </w:rPr>
        <w:t>日期：     年    月   日</w:t>
      </w:r>
    </w:p>
    <w:p w14:paraId="1FAD553A">
      <w:pPr>
        <w:spacing w:line="380" w:lineRule="exact"/>
        <w:rPr>
          <w:rFonts w:ascii="宋体" w:hAnsi="宋体" w:eastAsia="仿宋_GB2312"/>
          <w:sz w:val="28"/>
          <w:szCs w:val="28"/>
          <w:highlight w:val="none"/>
        </w:rPr>
      </w:pPr>
    </w:p>
    <w:p w14:paraId="57F4F59A">
      <w:pPr>
        <w:spacing w:line="380" w:lineRule="exact"/>
        <w:rPr>
          <w:rFonts w:ascii="宋体" w:hAnsi="宋体" w:eastAsia="仿宋_GB2312"/>
          <w:sz w:val="28"/>
          <w:szCs w:val="28"/>
          <w:highlight w:val="none"/>
        </w:rPr>
      </w:pPr>
    </w:p>
    <w:p w14:paraId="7194C4C9">
      <w:pPr>
        <w:rPr>
          <w:rFonts w:hint="eastAsia" w:ascii="宋体" w:hAnsi="宋体"/>
          <w:b/>
          <w:sz w:val="28"/>
          <w:szCs w:val="28"/>
          <w:highlight w:val="none"/>
        </w:rPr>
      </w:pPr>
      <w:r>
        <w:rPr>
          <w:rFonts w:hint="eastAsia" w:ascii="宋体" w:hAnsi="宋体"/>
          <w:b/>
          <w:sz w:val="28"/>
          <w:szCs w:val="28"/>
          <w:highlight w:val="none"/>
        </w:rPr>
        <w:br w:type="page"/>
      </w:r>
    </w:p>
    <w:p w14:paraId="2CCF7ED3">
      <w:pPr>
        <w:spacing w:line="380" w:lineRule="exact"/>
        <w:rPr>
          <w:rFonts w:hint="eastAsia" w:ascii="宋体" w:hAnsi="宋体" w:eastAsia="宋体"/>
          <w:sz w:val="28"/>
          <w:szCs w:val="28"/>
          <w:highlight w:val="none"/>
        </w:rPr>
      </w:pPr>
    </w:p>
    <w:p w14:paraId="2F41350D">
      <w:pPr>
        <w:jc w:val="center"/>
        <w:rPr>
          <w:rFonts w:hint="eastAsia" w:asciiTheme="minorEastAsia" w:hAnsiTheme="minorEastAsia" w:eastAsiaTheme="minorEastAsia"/>
          <w:b/>
          <w:sz w:val="28"/>
          <w:szCs w:val="28"/>
          <w:highlight w:val="none"/>
        </w:rPr>
      </w:pPr>
      <w:r>
        <w:rPr>
          <w:rFonts w:asciiTheme="minorEastAsia" w:hAnsiTheme="minorEastAsia" w:eastAsiaTheme="minorEastAsia"/>
          <w:b/>
          <w:sz w:val="28"/>
          <w:szCs w:val="28"/>
          <w:highlight w:val="none"/>
        </w:rPr>
        <w:t>四、采购供应商资格承诺函</w:t>
      </w:r>
    </w:p>
    <w:p w14:paraId="739D09BD">
      <w:pPr>
        <w:pStyle w:val="47"/>
        <w:ind w:firstLine="480"/>
        <w:rPr>
          <w:rFonts w:cs="宋体" w:asciiTheme="minorEastAsia" w:hAnsiTheme="minorEastAsia" w:eastAsiaTheme="minorEastAsia"/>
          <w:bCs/>
          <w:highlight w:val="none"/>
        </w:rPr>
      </w:pPr>
      <w:r>
        <w:rPr>
          <w:rFonts w:cs="宋体" w:asciiTheme="minorEastAsia" w:hAnsiTheme="minorEastAsia" w:eastAsiaTheme="minorEastAsia"/>
          <w:bCs/>
          <w:highlight w:val="none"/>
        </w:rPr>
        <w:t>致：（采购人或采购代理机构）</w:t>
      </w:r>
    </w:p>
    <w:p w14:paraId="6A8B8594">
      <w:pPr>
        <w:pStyle w:val="47"/>
        <w:ind w:firstLine="960"/>
        <w:rPr>
          <w:rFonts w:cs="宋体" w:asciiTheme="minorEastAsia" w:hAnsiTheme="minorEastAsia" w:eastAsiaTheme="minorEastAsia"/>
          <w:bCs/>
          <w:highlight w:val="none"/>
        </w:rPr>
      </w:pPr>
      <w:r>
        <w:rPr>
          <w:rFonts w:cs="宋体" w:asciiTheme="minorEastAsia" w:hAnsiTheme="minorEastAsia" w:eastAsiaTheme="minorEastAsia"/>
          <w:bCs/>
          <w:highlight w:val="none"/>
        </w:rPr>
        <w:t>单位名称(自然人姓名):</w:t>
      </w:r>
    </w:p>
    <w:p w14:paraId="05906A97">
      <w:pPr>
        <w:pStyle w:val="47"/>
        <w:ind w:firstLine="960"/>
        <w:rPr>
          <w:rFonts w:cs="宋体" w:asciiTheme="minorEastAsia" w:hAnsiTheme="minorEastAsia" w:eastAsiaTheme="minorEastAsia"/>
          <w:bCs/>
          <w:highlight w:val="none"/>
        </w:rPr>
      </w:pPr>
      <w:r>
        <w:rPr>
          <w:rFonts w:cs="宋体" w:asciiTheme="minorEastAsia" w:hAnsiTheme="minorEastAsia" w:eastAsiaTheme="minorEastAsia"/>
          <w:bCs/>
          <w:highlight w:val="none"/>
        </w:rPr>
        <w:t>统一社会信用代码(自然人身份证号码):</w:t>
      </w:r>
    </w:p>
    <w:p w14:paraId="1055E4F2">
      <w:pPr>
        <w:pStyle w:val="47"/>
        <w:ind w:firstLine="960"/>
        <w:rPr>
          <w:rFonts w:cs="宋体" w:asciiTheme="minorEastAsia" w:hAnsiTheme="minorEastAsia" w:eastAsiaTheme="minorEastAsia"/>
          <w:bCs/>
          <w:highlight w:val="none"/>
        </w:rPr>
      </w:pPr>
      <w:r>
        <w:rPr>
          <w:rFonts w:cs="宋体" w:asciiTheme="minorEastAsia" w:hAnsiTheme="minorEastAsia" w:eastAsiaTheme="minorEastAsia"/>
          <w:bCs/>
          <w:highlight w:val="none"/>
        </w:rPr>
        <w:t>法定代表人(负责人):</w:t>
      </w:r>
    </w:p>
    <w:p w14:paraId="4A3CD355">
      <w:pPr>
        <w:pStyle w:val="47"/>
        <w:ind w:firstLine="960"/>
        <w:rPr>
          <w:rFonts w:cs="宋体" w:asciiTheme="minorEastAsia" w:hAnsiTheme="minorEastAsia" w:eastAsiaTheme="minorEastAsia"/>
          <w:bCs/>
          <w:highlight w:val="none"/>
        </w:rPr>
      </w:pPr>
      <w:r>
        <w:rPr>
          <w:rFonts w:cs="宋体" w:asciiTheme="minorEastAsia" w:hAnsiTheme="minorEastAsia" w:eastAsiaTheme="minorEastAsia"/>
          <w:bCs/>
          <w:highlight w:val="none"/>
        </w:rPr>
        <w:t>联系地址和电话:</w:t>
      </w:r>
    </w:p>
    <w:p w14:paraId="1A843F4B">
      <w:pPr>
        <w:pStyle w:val="47"/>
        <w:ind w:firstLine="480"/>
        <w:rPr>
          <w:rFonts w:cs="宋体" w:asciiTheme="minorEastAsia" w:hAnsiTheme="minorEastAsia" w:eastAsiaTheme="minorEastAsia"/>
          <w:bCs/>
          <w:highlight w:val="none"/>
        </w:rPr>
      </w:pPr>
      <w:r>
        <w:rPr>
          <w:rFonts w:cs="宋体" w:asciiTheme="minorEastAsia" w:hAnsiTheme="minorEastAsia" w:eastAsiaTheme="minorEastAsia"/>
          <w:bCs/>
          <w:highlight w:val="none"/>
        </w:rPr>
        <w:t>我单位(本人)自愿参加本次政府采购活动，严格遵守《中华人民共和国政府采购法》及相关法律法规，坚守公开、公平公正和诚实信用等原则，依法诚信经营，并郑重承诺:</w:t>
      </w:r>
    </w:p>
    <w:p w14:paraId="5E7CEACC">
      <w:pPr>
        <w:pStyle w:val="47"/>
        <w:ind w:firstLine="480"/>
        <w:rPr>
          <w:rFonts w:cs="宋体" w:asciiTheme="minorEastAsia" w:hAnsiTheme="minorEastAsia" w:eastAsiaTheme="minorEastAsia"/>
          <w:bCs/>
          <w:highlight w:val="none"/>
        </w:rPr>
      </w:pPr>
      <w:r>
        <w:rPr>
          <w:rFonts w:cs="宋体" w:asciiTheme="minorEastAsia" w:hAnsiTheme="minorEastAsia" w:eastAsiaTheme="minorEastAsia"/>
          <w:bCs/>
          <w:highlight w:val="none"/>
        </w:rPr>
        <w:t>一、我单位(本人)具备采购文件要求以及《中华人民共和国政府采购法》第二十二条规定的条件:</w:t>
      </w:r>
    </w:p>
    <w:p w14:paraId="79488A0B">
      <w:pPr>
        <w:pStyle w:val="47"/>
        <w:ind w:firstLine="960"/>
        <w:rPr>
          <w:rFonts w:cs="宋体" w:asciiTheme="minorEastAsia" w:hAnsiTheme="minorEastAsia" w:eastAsiaTheme="minorEastAsia"/>
          <w:bCs/>
          <w:highlight w:val="none"/>
        </w:rPr>
      </w:pPr>
      <w:r>
        <w:rPr>
          <w:rFonts w:cs="宋体" w:asciiTheme="minorEastAsia" w:hAnsiTheme="minorEastAsia" w:eastAsiaTheme="minorEastAsia"/>
          <w:bCs/>
          <w:highlight w:val="none"/>
        </w:rPr>
        <w:t>1.具有独立承担民事责任的能力;</w:t>
      </w:r>
    </w:p>
    <w:p w14:paraId="6EE4C473">
      <w:pPr>
        <w:pStyle w:val="47"/>
        <w:ind w:firstLine="960"/>
        <w:rPr>
          <w:rFonts w:cs="宋体" w:asciiTheme="minorEastAsia" w:hAnsiTheme="minorEastAsia" w:eastAsiaTheme="minorEastAsia"/>
          <w:bCs/>
          <w:highlight w:val="none"/>
        </w:rPr>
      </w:pPr>
      <w:r>
        <w:rPr>
          <w:rFonts w:cs="宋体" w:asciiTheme="minorEastAsia" w:hAnsiTheme="minorEastAsia" w:eastAsiaTheme="minorEastAsia"/>
          <w:bCs/>
          <w:highlight w:val="none"/>
        </w:rPr>
        <w:t>2.具有良好的商业信誉和健全的财务会计制度;</w:t>
      </w:r>
    </w:p>
    <w:p w14:paraId="595164BD">
      <w:pPr>
        <w:pStyle w:val="47"/>
        <w:ind w:firstLine="960"/>
        <w:rPr>
          <w:rFonts w:cs="宋体" w:asciiTheme="minorEastAsia" w:hAnsiTheme="minorEastAsia" w:eastAsiaTheme="minorEastAsia"/>
          <w:bCs/>
          <w:highlight w:val="none"/>
        </w:rPr>
      </w:pPr>
      <w:r>
        <w:rPr>
          <w:rFonts w:cs="宋体" w:asciiTheme="minorEastAsia" w:hAnsiTheme="minorEastAsia" w:eastAsiaTheme="minorEastAsia"/>
          <w:bCs/>
          <w:highlight w:val="none"/>
        </w:rPr>
        <w:t>3.具有履行合同所必需的设备和专业技术能力;</w:t>
      </w:r>
    </w:p>
    <w:p w14:paraId="22929555">
      <w:pPr>
        <w:pStyle w:val="47"/>
        <w:ind w:firstLine="960"/>
        <w:rPr>
          <w:rFonts w:cs="宋体" w:asciiTheme="minorEastAsia" w:hAnsiTheme="minorEastAsia" w:eastAsiaTheme="minorEastAsia"/>
          <w:bCs/>
          <w:highlight w:val="none"/>
        </w:rPr>
      </w:pPr>
      <w:r>
        <w:rPr>
          <w:rFonts w:cs="宋体" w:asciiTheme="minorEastAsia" w:hAnsiTheme="minorEastAsia" w:eastAsiaTheme="minorEastAsia"/>
          <w:bCs/>
          <w:highlight w:val="none"/>
        </w:rPr>
        <w:t>4.有依法缴纳税收和社会保障资金的良好记录;</w:t>
      </w:r>
    </w:p>
    <w:p w14:paraId="6C779C38">
      <w:pPr>
        <w:pStyle w:val="47"/>
        <w:ind w:firstLine="960"/>
        <w:rPr>
          <w:rFonts w:cs="宋体" w:asciiTheme="minorEastAsia" w:hAnsiTheme="minorEastAsia" w:eastAsiaTheme="minorEastAsia"/>
          <w:bCs/>
          <w:highlight w:val="none"/>
        </w:rPr>
      </w:pPr>
      <w:r>
        <w:rPr>
          <w:rFonts w:cs="宋体" w:asciiTheme="minorEastAsia" w:hAnsiTheme="minorEastAsia" w:eastAsiaTheme="minorEastAsia"/>
          <w:bCs/>
          <w:highlight w:val="none"/>
        </w:rPr>
        <w:t>5.参加政府采购活动前三年内，在经营活动中没有重大违法记录；</w:t>
      </w:r>
    </w:p>
    <w:p w14:paraId="43B0EEFA">
      <w:pPr>
        <w:pStyle w:val="47"/>
        <w:ind w:firstLine="960"/>
        <w:rPr>
          <w:rFonts w:cs="宋体" w:asciiTheme="minorEastAsia" w:hAnsiTheme="minorEastAsia" w:eastAsiaTheme="minorEastAsia"/>
          <w:bCs/>
          <w:highlight w:val="none"/>
        </w:rPr>
      </w:pPr>
      <w:r>
        <w:rPr>
          <w:rFonts w:cs="宋体" w:asciiTheme="minorEastAsia" w:hAnsiTheme="minorEastAsia" w:eastAsiaTheme="minorEastAsia"/>
          <w:bCs/>
          <w:highlight w:val="none"/>
        </w:rPr>
        <w:t>6.法律、行政法规规定的其他条件。</w:t>
      </w:r>
    </w:p>
    <w:p w14:paraId="75CCD68B">
      <w:pPr>
        <w:pStyle w:val="47"/>
        <w:ind w:firstLine="480"/>
        <w:rPr>
          <w:rFonts w:cs="宋体" w:asciiTheme="minorEastAsia" w:hAnsiTheme="minorEastAsia" w:eastAsiaTheme="minorEastAsia"/>
          <w:bCs/>
          <w:highlight w:val="none"/>
        </w:rPr>
      </w:pPr>
      <w:r>
        <w:rPr>
          <w:rFonts w:cs="宋体" w:asciiTheme="minorEastAsia" w:hAnsiTheme="minorEastAsia" w:eastAsiaTheme="minorEastAsia"/>
          <w:bCs/>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4E4F77A6">
      <w:pPr>
        <w:pStyle w:val="47"/>
        <w:ind w:firstLine="480"/>
        <w:rPr>
          <w:rFonts w:cs="宋体" w:asciiTheme="minorEastAsia" w:hAnsiTheme="minorEastAsia" w:eastAsiaTheme="minorEastAsia"/>
          <w:bCs/>
          <w:highlight w:val="none"/>
        </w:rPr>
      </w:pPr>
      <w:r>
        <w:rPr>
          <w:rFonts w:cs="宋体" w:asciiTheme="minorEastAsia" w:hAnsiTheme="minorEastAsia" w:eastAsiaTheme="minorEastAsia"/>
          <w:bCs/>
          <w:highlight w:val="none"/>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59ADFD89">
      <w:pPr>
        <w:pStyle w:val="47"/>
        <w:ind w:firstLine="480"/>
        <w:jc w:val="right"/>
        <w:rPr>
          <w:rFonts w:cs="宋体" w:asciiTheme="minorEastAsia" w:hAnsiTheme="minorEastAsia" w:eastAsiaTheme="minorEastAsia"/>
          <w:bCs/>
          <w:highlight w:val="none"/>
        </w:rPr>
      </w:pPr>
      <w:r>
        <w:rPr>
          <w:rFonts w:cs="宋体" w:asciiTheme="minorEastAsia" w:hAnsiTheme="minorEastAsia" w:eastAsiaTheme="minorEastAsia"/>
          <w:bCs/>
          <w:highlight w:val="none"/>
        </w:rPr>
        <w:t>供应商：名称(单位公章):</w:t>
      </w:r>
    </w:p>
    <w:p w14:paraId="02E44FA2">
      <w:pPr>
        <w:pStyle w:val="47"/>
        <w:ind w:firstLine="480"/>
        <w:jc w:val="right"/>
        <w:rPr>
          <w:rFonts w:cs="宋体" w:asciiTheme="minorEastAsia" w:hAnsiTheme="minorEastAsia" w:eastAsiaTheme="minorEastAsia"/>
          <w:bCs/>
          <w:highlight w:val="none"/>
        </w:rPr>
      </w:pPr>
      <w:r>
        <w:rPr>
          <w:rFonts w:cs="宋体" w:asciiTheme="minorEastAsia" w:hAnsiTheme="minorEastAsia" w:eastAsiaTheme="minorEastAsia"/>
          <w:bCs/>
          <w:highlight w:val="none"/>
        </w:rPr>
        <w:t>日期：　　年　　月　　日</w:t>
      </w:r>
    </w:p>
    <w:p w14:paraId="0BCFABAF">
      <w:pPr>
        <w:pStyle w:val="47"/>
        <w:ind w:firstLine="480"/>
        <w:rPr>
          <w:rFonts w:cs="宋体" w:asciiTheme="minorEastAsia" w:hAnsiTheme="minorEastAsia" w:eastAsiaTheme="minorEastAsia"/>
          <w:bCs/>
          <w:highlight w:val="none"/>
        </w:rPr>
      </w:pPr>
      <w:r>
        <w:rPr>
          <w:rFonts w:cs="宋体" w:asciiTheme="minorEastAsia" w:hAnsiTheme="minorEastAsia" w:eastAsiaTheme="minorEastAsia"/>
          <w:bCs/>
          <w:highlight w:val="none"/>
        </w:rPr>
        <w:t>注：</w:t>
      </w:r>
    </w:p>
    <w:p w14:paraId="38FA0409">
      <w:pPr>
        <w:pStyle w:val="47"/>
        <w:ind w:firstLine="960"/>
        <w:rPr>
          <w:rFonts w:cs="宋体" w:asciiTheme="minorEastAsia" w:hAnsiTheme="minorEastAsia" w:eastAsiaTheme="minorEastAsia"/>
          <w:bCs/>
          <w:highlight w:val="none"/>
        </w:rPr>
      </w:pPr>
      <w:r>
        <w:rPr>
          <w:rFonts w:cs="宋体" w:asciiTheme="minorEastAsia" w:hAnsiTheme="minorEastAsia" w:eastAsiaTheme="minorEastAsia"/>
          <w:bCs/>
          <w:highlight w:val="none"/>
        </w:rPr>
        <w:t>1.我单位(本人)专指参加政府采购活动的供应商(含自然人)；</w:t>
      </w:r>
    </w:p>
    <w:p w14:paraId="6A79A539">
      <w:pPr>
        <w:pStyle w:val="47"/>
        <w:ind w:firstLine="960"/>
        <w:rPr>
          <w:rFonts w:cs="宋体" w:asciiTheme="minorEastAsia" w:hAnsiTheme="minorEastAsia" w:eastAsiaTheme="minorEastAsia"/>
          <w:bCs/>
          <w:highlight w:val="none"/>
        </w:rPr>
      </w:pPr>
      <w:r>
        <w:rPr>
          <w:rFonts w:cs="宋体" w:asciiTheme="minorEastAsia" w:hAnsiTheme="minorEastAsia" w:eastAsiaTheme="minorEastAsia"/>
          <w:bCs/>
          <w:highlight w:val="none"/>
        </w:rPr>
        <w:t>2.资格承诺的供应商应在投标(响应)文件中按此模板提供承诺函，否则，视为未按照招标文件规定提交投标人的资格及资信文件，按资格审查不通过处理。</w:t>
      </w:r>
    </w:p>
    <w:p w14:paraId="402A4AA7">
      <w:pPr>
        <w:spacing w:line="380" w:lineRule="exact"/>
        <w:ind w:firstLine="560" w:firstLineChars="200"/>
        <w:rPr>
          <w:rFonts w:ascii="宋体" w:hAnsi="宋体" w:eastAsia="仿宋_GB2312"/>
          <w:sz w:val="28"/>
          <w:szCs w:val="28"/>
          <w:highlight w:val="none"/>
        </w:rPr>
      </w:pPr>
    </w:p>
    <w:p w14:paraId="294AFFB6">
      <w:pPr>
        <w:rPr>
          <w:rFonts w:hint="eastAsia" w:ascii="宋体" w:hAnsi="宋体"/>
          <w:b/>
          <w:sz w:val="30"/>
          <w:szCs w:val="30"/>
          <w:highlight w:val="none"/>
        </w:rPr>
      </w:pPr>
      <w:r>
        <w:rPr>
          <w:rFonts w:hint="eastAsia" w:ascii="宋体" w:hAnsi="宋体"/>
          <w:b/>
          <w:sz w:val="30"/>
          <w:szCs w:val="30"/>
          <w:highlight w:val="none"/>
        </w:rPr>
        <w:br w:type="page"/>
      </w:r>
    </w:p>
    <w:p w14:paraId="45DD6EF9">
      <w:pPr>
        <w:tabs>
          <w:tab w:val="left" w:pos="1600"/>
        </w:tabs>
        <w:spacing w:line="560" w:lineRule="exact"/>
        <w:ind w:left="330" w:firstLine="240"/>
        <w:jc w:val="center"/>
        <w:rPr>
          <w:rFonts w:ascii="宋体" w:hAnsi="宋体"/>
          <w:b/>
          <w:sz w:val="30"/>
          <w:szCs w:val="30"/>
          <w:highlight w:val="none"/>
        </w:rPr>
      </w:pPr>
      <w:r>
        <w:rPr>
          <w:rFonts w:hint="eastAsia" w:ascii="宋体" w:hAnsi="宋体"/>
          <w:b/>
          <w:sz w:val="30"/>
          <w:szCs w:val="30"/>
          <w:highlight w:val="none"/>
          <w:lang w:val="en-US" w:eastAsia="zh-CN"/>
        </w:rPr>
        <w:t>五</w:t>
      </w:r>
      <w:r>
        <w:rPr>
          <w:rFonts w:hint="eastAsia" w:ascii="宋体" w:hAnsi="宋体"/>
          <w:b/>
          <w:sz w:val="30"/>
          <w:szCs w:val="30"/>
          <w:highlight w:val="none"/>
        </w:rPr>
        <w:t>、投标人提交的其它材料</w:t>
      </w:r>
    </w:p>
    <w:p w14:paraId="1297035B">
      <w:pPr>
        <w:spacing w:line="220" w:lineRule="atLeast"/>
        <w:rPr>
          <w:rFonts w:ascii="宋体" w:hAnsi="宋体" w:eastAsia="仿宋_GB2312"/>
          <w:sz w:val="28"/>
          <w:szCs w:val="28"/>
          <w:highlight w:val="none"/>
        </w:rPr>
      </w:pPr>
    </w:p>
    <w:p w14:paraId="2F275932">
      <w:pPr>
        <w:rPr>
          <w:highlight w:val="none"/>
        </w:rPr>
      </w:pPr>
    </w:p>
    <w:p w14:paraId="5B9A0139">
      <w:pPr>
        <w:rPr>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方正仿宋简体">
    <w:altName w:val="微软雅黑"/>
    <w:panose1 w:val="00000000000000000000"/>
    <w:charset w:val="86"/>
    <w:family w:val="roma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inherit">
    <w:altName w:val="Times New Roman"/>
    <w:panose1 w:val="00000000000000000000"/>
    <w:charset w:val="00"/>
    <w:family w:val="roman"/>
    <w:pitch w:val="default"/>
    <w:sig w:usb0="00000000"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C160D8"/>
    <w:multiLevelType w:val="singleLevel"/>
    <w:tmpl w:val="C5C160D8"/>
    <w:lvl w:ilvl="0" w:tentative="0">
      <w:start w:val="1"/>
      <w:numFmt w:val="decimal"/>
      <w:lvlText w:val="%1."/>
      <w:lvlJc w:val="left"/>
      <w:pPr>
        <w:ind w:left="425" w:hanging="425"/>
      </w:pPr>
      <w:rPr>
        <w:rFonts w:hint="default"/>
      </w:rPr>
    </w:lvl>
  </w:abstractNum>
  <w:abstractNum w:abstractNumId="1">
    <w:nsid w:val="372123A1"/>
    <w:multiLevelType w:val="multilevel"/>
    <w:tmpl w:val="372123A1"/>
    <w:lvl w:ilvl="0" w:tentative="0">
      <w:start w:val="1"/>
      <w:numFmt w:val="decimal"/>
      <w:lvlText w:val="%1."/>
      <w:lvlJc w:val="left"/>
      <w:pPr>
        <w:ind w:left="830" w:hanging="440"/>
      </w:pPr>
    </w:lvl>
    <w:lvl w:ilvl="1" w:tentative="0">
      <w:start w:val="1"/>
      <w:numFmt w:val="lowerLetter"/>
      <w:lvlText w:val="%2)"/>
      <w:lvlJc w:val="left"/>
      <w:pPr>
        <w:ind w:left="1270" w:hanging="440"/>
      </w:pPr>
    </w:lvl>
    <w:lvl w:ilvl="2" w:tentative="0">
      <w:start w:val="1"/>
      <w:numFmt w:val="lowerRoman"/>
      <w:lvlText w:val="%3."/>
      <w:lvlJc w:val="right"/>
      <w:pPr>
        <w:ind w:left="1710" w:hanging="440"/>
      </w:pPr>
    </w:lvl>
    <w:lvl w:ilvl="3" w:tentative="0">
      <w:start w:val="1"/>
      <w:numFmt w:val="decimal"/>
      <w:lvlText w:val="%4."/>
      <w:lvlJc w:val="left"/>
      <w:pPr>
        <w:ind w:left="2150" w:hanging="440"/>
      </w:pPr>
    </w:lvl>
    <w:lvl w:ilvl="4" w:tentative="0">
      <w:start w:val="1"/>
      <w:numFmt w:val="lowerLetter"/>
      <w:lvlText w:val="%5)"/>
      <w:lvlJc w:val="left"/>
      <w:pPr>
        <w:ind w:left="2590" w:hanging="440"/>
      </w:pPr>
    </w:lvl>
    <w:lvl w:ilvl="5" w:tentative="0">
      <w:start w:val="1"/>
      <w:numFmt w:val="lowerRoman"/>
      <w:lvlText w:val="%6."/>
      <w:lvlJc w:val="right"/>
      <w:pPr>
        <w:ind w:left="3030" w:hanging="440"/>
      </w:pPr>
    </w:lvl>
    <w:lvl w:ilvl="6" w:tentative="0">
      <w:start w:val="1"/>
      <w:numFmt w:val="decimal"/>
      <w:lvlText w:val="%7."/>
      <w:lvlJc w:val="left"/>
      <w:pPr>
        <w:ind w:left="3470" w:hanging="440"/>
      </w:pPr>
    </w:lvl>
    <w:lvl w:ilvl="7" w:tentative="0">
      <w:start w:val="1"/>
      <w:numFmt w:val="lowerLetter"/>
      <w:lvlText w:val="%8)"/>
      <w:lvlJc w:val="left"/>
      <w:pPr>
        <w:ind w:left="3910" w:hanging="440"/>
      </w:pPr>
    </w:lvl>
    <w:lvl w:ilvl="8" w:tentative="0">
      <w:start w:val="1"/>
      <w:numFmt w:val="lowerRoman"/>
      <w:lvlText w:val="%9."/>
      <w:lvlJc w:val="right"/>
      <w:pPr>
        <w:ind w:left="4350" w:hanging="440"/>
      </w:pPr>
    </w:lvl>
  </w:abstractNum>
  <w:abstractNum w:abstractNumId="2">
    <w:nsid w:val="50AE6D90"/>
    <w:multiLevelType w:val="multilevel"/>
    <w:tmpl w:val="50AE6D90"/>
    <w:lvl w:ilvl="0" w:tentative="0">
      <w:start w:val="1"/>
      <w:numFmt w:val="decimal"/>
      <w:lvlText w:val="%1."/>
      <w:lvlJc w:val="left"/>
      <w:pPr>
        <w:ind w:left="830" w:hanging="440"/>
      </w:pPr>
      <w:rPr>
        <w:b w:val="0"/>
        <w:bCs w:val="0"/>
      </w:rPr>
    </w:lvl>
    <w:lvl w:ilvl="1" w:tentative="0">
      <w:start w:val="1"/>
      <w:numFmt w:val="lowerLetter"/>
      <w:lvlText w:val="%2)"/>
      <w:lvlJc w:val="left"/>
      <w:pPr>
        <w:ind w:left="1270" w:hanging="440"/>
      </w:pPr>
    </w:lvl>
    <w:lvl w:ilvl="2" w:tentative="0">
      <w:start w:val="1"/>
      <w:numFmt w:val="lowerRoman"/>
      <w:lvlText w:val="%3."/>
      <w:lvlJc w:val="right"/>
      <w:pPr>
        <w:ind w:left="1710" w:hanging="440"/>
      </w:pPr>
    </w:lvl>
    <w:lvl w:ilvl="3" w:tentative="0">
      <w:start w:val="1"/>
      <w:numFmt w:val="decimal"/>
      <w:lvlText w:val="%4."/>
      <w:lvlJc w:val="left"/>
      <w:pPr>
        <w:ind w:left="2150" w:hanging="440"/>
      </w:pPr>
    </w:lvl>
    <w:lvl w:ilvl="4" w:tentative="0">
      <w:start w:val="1"/>
      <w:numFmt w:val="lowerLetter"/>
      <w:lvlText w:val="%5)"/>
      <w:lvlJc w:val="left"/>
      <w:pPr>
        <w:ind w:left="2590" w:hanging="440"/>
      </w:pPr>
    </w:lvl>
    <w:lvl w:ilvl="5" w:tentative="0">
      <w:start w:val="1"/>
      <w:numFmt w:val="lowerRoman"/>
      <w:lvlText w:val="%6."/>
      <w:lvlJc w:val="right"/>
      <w:pPr>
        <w:ind w:left="3030" w:hanging="440"/>
      </w:pPr>
    </w:lvl>
    <w:lvl w:ilvl="6" w:tentative="0">
      <w:start w:val="1"/>
      <w:numFmt w:val="decimal"/>
      <w:lvlText w:val="%7."/>
      <w:lvlJc w:val="left"/>
      <w:pPr>
        <w:ind w:left="3470" w:hanging="440"/>
      </w:pPr>
    </w:lvl>
    <w:lvl w:ilvl="7" w:tentative="0">
      <w:start w:val="1"/>
      <w:numFmt w:val="lowerLetter"/>
      <w:lvlText w:val="%8)"/>
      <w:lvlJc w:val="left"/>
      <w:pPr>
        <w:ind w:left="3910" w:hanging="440"/>
      </w:pPr>
    </w:lvl>
    <w:lvl w:ilvl="8" w:tentative="0">
      <w:start w:val="1"/>
      <w:numFmt w:val="lowerRoman"/>
      <w:lvlText w:val="%9."/>
      <w:lvlJc w:val="right"/>
      <w:pPr>
        <w:ind w:left="4350" w:hanging="440"/>
      </w:pPr>
    </w:lvl>
  </w:abstractNum>
  <w:abstractNum w:abstractNumId="3">
    <w:nsid w:val="5F378D0F"/>
    <w:multiLevelType w:val="singleLevel"/>
    <w:tmpl w:val="5F378D0F"/>
    <w:lvl w:ilvl="0" w:tentative="0">
      <w:start w:val="1"/>
      <w:numFmt w:val="decimal"/>
      <w:lvlText w:val="%1."/>
      <w:lvlJc w:val="left"/>
      <w:pPr>
        <w:ind w:left="425" w:hanging="425"/>
      </w:pPr>
      <w:rPr>
        <w:rFonts w:hint="default"/>
      </w:rPr>
    </w:lvl>
  </w:abstractNum>
  <w:abstractNum w:abstractNumId="4">
    <w:nsid w:val="74AF2DF7"/>
    <w:multiLevelType w:val="multilevel"/>
    <w:tmpl w:val="74AF2DF7"/>
    <w:lvl w:ilvl="0" w:tentative="0">
      <w:start w:val="1"/>
      <w:numFmt w:val="decimal"/>
      <w:lvlText w:val="%1."/>
      <w:lvlJc w:val="left"/>
      <w:pPr>
        <w:ind w:left="830" w:hanging="440"/>
      </w:pPr>
    </w:lvl>
    <w:lvl w:ilvl="1" w:tentative="0">
      <w:start w:val="1"/>
      <w:numFmt w:val="lowerLetter"/>
      <w:lvlText w:val="%2)"/>
      <w:lvlJc w:val="left"/>
      <w:pPr>
        <w:ind w:left="1270" w:hanging="440"/>
      </w:pPr>
    </w:lvl>
    <w:lvl w:ilvl="2" w:tentative="0">
      <w:start w:val="1"/>
      <w:numFmt w:val="lowerRoman"/>
      <w:lvlText w:val="%3."/>
      <w:lvlJc w:val="right"/>
      <w:pPr>
        <w:ind w:left="1710" w:hanging="440"/>
      </w:pPr>
    </w:lvl>
    <w:lvl w:ilvl="3" w:tentative="0">
      <w:start w:val="1"/>
      <w:numFmt w:val="decimal"/>
      <w:lvlText w:val="%4."/>
      <w:lvlJc w:val="left"/>
      <w:pPr>
        <w:ind w:left="2150" w:hanging="440"/>
      </w:pPr>
    </w:lvl>
    <w:lvl w:ilvl="4" w:tentative="0">
      <w:start w:val="1"/>
      <w:numFmt w:val="lowerLetter"/>
      <w:lvlText w:val="%5)"/>
      <w:lvlJc w:val="left"/>
      <w:pPr>
        <w:ind w:left="2590" w:hanging="440"/>
      </w:pPr>
    </w:lvl>
    <w:lvl w:ilvl="5" w:tentative="0">
      <w:start w:val="1"/>
      <w:numFmt w:val="lowerRoman"/>
      <w:lvlText w:val="%6."/>
      <w:lvlJc w:val="right"/>
      <w:pPr>
        <w:ind w:left="3030" w:hanging="440"/>
      </w:pPr>
    </w:lvl>
    <w:lvl w:ilvl="6" w:tentative="0">
      <w:start w:val="1"/>
      <w:numFmt w:val="decimal"/>
      <w:lvlText w:val="%7."/>
      <w:lvlJc w:val="left"/>
      <w:pPr>
        <w:ind w:left="3470" w:hanging="440"/>
      </w:pPr>
    </w:lvl>
    <w:lvl w:ilvl="7" w:tentative="0">
      <w:start w:val="1"/>
      <w:numFmt w:val="lowerLetter"/>
      <w:lvlText w:val="%8)"/>
      <w:lvlJc w:val="left"/>
      <w:pPr>
        <w:ind w:left="3910" w:hanging="440"/>
      </w:pPr>
    </w:lvl>
    <w:lvl w:ilvl="8" w:tentative="0">
      <w:start w:val="1"/>
      <w:numFmt w:val="lowerRoman"/>
      <w:lvlText w:val="%9."/>
      <w:lvlJc w:val="right"/>
      <w:pPr>
        <w:ind w:left="4350" w:hanging="440"/>
      </w:pPr>
    </w:lvl>
  </w:abstractNum>
  <w:abstractNum w:abstractNumId="5">
    <w:nsid w:val="75EE7788"/>
    <w:multiLevelType w:val="multilevel"/>
    <w:tmpl w:val="75EE7788"/>
    <w:lvl w:ilvl="0" w:tentative="0">
      <w:start w:val="1"/>
      <w:numFmt w:val="decimal"/>
      <w:lvlText w:val="%1."/>
      <w:lvlJc w:val="left"/>
      <w:pPr>
        <w:ind w:left="830" w:hanging="440"/>
      </w:pPr>
      <w:rPr>
        <w:b w:val="0"/>
        <w:bCs w:val="0"/>
      </w:rPr>
    </w:lvl>
    <w:lvl w:ilvl="1" w:tentative="0">
      <w:start w:val="1"/>
      <w:numFmt w:val="lowerLetter"/>
      <w:lvlText w:val="%2)"/>
      <w:lvlJc w:val="left"/>
      <w:pPr>
        <w:ind w:left="1270" w:hanging="440"/>
      </w:pPr>
    </w:lvl>
    <w:lvl w:ilvl="2" w:tentative="0">
      <w:start w:val="1"/>
      <w:numFmt w:val="lowerRoman"/>
      <w:lvlText w:val="%3."/>
      <w:lvlJc w:val="right"/>
      <w:pPr>
        <w:ind w:left="1710" w:hanging="440"/>
      </w:pPr>
    </w:lvl>
    <w:lvl w:ilvl="3" w:tentative="0">
      <w:start w:val="1"/>
      <w:numFmt w:val="decimal"/>
      <w:lvlText w:val="%4."/>
      <w:lvlJc w:val="left"/>
      <w:pPr>
        <w:ind w:left="2150" w:hanging="440"/>
      </w:pPr>
    </w:lvl>
    <w:lvl w:ilvl="4" w:tentative="0">
      <w:start w:val="1"/>
      <w:numFmt w:val="lowerLetter"/>
      <w:lvlText w:val="%5)"/>
      <w:lvlJc w:val="left"/>
      <w:pPr>
        <w:ind w:left="2590" w:hanging="440"/>
      </w:pPr>
    </w:lvl>
    <w:lvl w:ilvl="5" w:tentative="0">
      <w:start w:val="1"/>
      <w:numFmt w:val="lowerRoman"/>
      <w:lvlText w:val="%6."/>
      <w:lvlJc w:val="right"/>
      <w:pPr>
        <w:ind w:left="3030" w:hanging="440"/>
      </w:pPr>
    </w:lvl>
    <w:lvl w:ilvl="6" w:tentative="0">
      <w:start w:val="1"/>
      <w:numFmt w:val="decimal"/>
      <w:lvlText w:val="%7."/>
      <w:lvlJc w:val="left"/>
      <w:pPr>
        <w:ind w:left="3470" w:hanging="440"/>
      </w:pPr>
    </w:lvl>
    <w:lvl w:ilvl="7" w:tentative="0">
      <w:start w:val="1"/>
      <w:numFmt w:val="lowerLetter"/>
      <w:lvlText w:val="%8)"/>
      <w:lvlJc w:val="left"/>
      <w:pPr>
        <w:ind w:left="3910" w:hanging="440"/>
      </w:pPr>
    </w:lvl>
    <w:lvl w:ilvl="8" w:tentative="0">
      <w:start w:val="1"/>
      <w:numFmt w:val="lowerRoman"/>
      <w:lvlText w:val="%9."/>
      <w:lvlJc w:val="right"/>
      <w:pPr>
        <w:ind w:left="4350" w:hanging="440"/>
      </w:pPr>
    </w:lvl>
  </w:abstractNum>
  <w:abstractNum w:abstractNumId="6">
    <w:nsid w:val="779E48CE"/>
    <w:multiLevelType w:val="multilevel"/>
    <w:tmpl w:val="779E48CE"/>
    <w:lvl w:ilvl="0" w:tentative="0">
      <w:start w:val="1"/>
      <w:numFmt w:val="decimal"/>
      <w:lvlText w:val="%1."/>
      <w:lvlJc w:val="left"/>
      <w:pPr>
        <w:ind w:left="830" w:hanging="440"/>
      </w:pPr>
      <w:rPr>
        <w:b w:val="0"/>
        <w:bCs w:val="0"/>
      </w:rPr>
    </w:lvl>
    <w:lvl w:ilvl="1" w:tentative="0">
      <w:start w:val="1"/>
      <w:numFmt w:val="lowerLetter"/>
      <w:lvlText w:val="%2)"/>
      <w:lvlJc w:val="left"/>
      <w:pPr>
        <w:ind w:left="1270" w:hanging="440"/>
      </w:pPr>
    </w:lvl>
    <w:lvl w:ilvl="2" w:tentative="0">
      <w:start w:val="1"/>
      <w:numFmt w:val="lowerRoman"/>
      <w:lvlText w:val="%3."/>
      <w:lvlJc w:val="right"/>
      <w:pPr>
        <w:ind w:left="1710" w:hanging="440"/>
      </w:pPr>
    </w:lvl>
    <w:lvl w:ilvl="3" w:tentative="0">
      <w:start w:val="1"/>
      <w:numFmt w:val="decimal"/>
      <w:lvlText w:val="%4."/>
      <w:lvlJc w:val="left"/>
      <w:pPr>
        <w:ind w:left="2150" w:hanging="440"/>
      </w:pPr>
    </w:lvl>
    <w:lvl w:ilvl="4" w:tentative="0">
      <w:start w:val="1"/>
      <w:numFmt w:val="lowerLetter"/>
      <w:lvlText w:val="%5)"/>
      <w:lvlJc w:val="left"/>
      <w:pPr>
        <w:ind w:left="2590" w:hanging="440"/>
      </w:pPr>
    </w:lvl>
    <w:lvl w:ilvl="5" w:tentative="0">
      <w:start w:val="1"/>
      <w:numFmt w:val="lowerRoman"/>
      <w:lvlText w:val="%6."/>
      <w:lvlJc w:val="right"/>
      <w:pPr>
        <w:ind w:left="3030" w:hanging="440"/>
      </w:pPr>
    </w:lvl>
    <w:lvl w:ilvl="6" w:tentative="0">
      <w:start w:val="1"/>
      <w:numFmt w:val="decimal"/>
      <w:lvlText w:val="%7."/>
      <w:lvlJc w:val="left"/>
      <w:pPr>
        <w:ind w:left="3470" w:hanging="440"/>
      </w:pPr>
    </w:lvl>
    <w:lvl w:ilvl="7" w:tentative="0">
      <w:start w:val="1"/>
      <w:numFmt w:val="lowerLetter"/>
      <w:lvlText w:val="%8)"/>
      <w:lvlJc w:val="left"/>
      <w:pPr>
        <w:ind w:left="3910" w:hanging="440"/>
      </w:pPr>
    </w:lvl>
    <w:lvl w:ilvl="8" w:tentative="0">
      <w:start w:val="1"/>
      <w:numFmt w:val="lowerRoman"/>
      <w:lvlText w:val="%9."/>
      <w:lvlJc w:val="right"/>
      <w:pPr>
        <w:ind w:left="4350" w:hanging="440"/>
      </w:pPr>
    </w:lvl>
  </w:abstractNum>
  <w:num w:numId="1">
    <w:abstractNumId w:val="5"/>
  </w:num>
  <w:num w:numId="2">
    <w:abstractNumId w:val="1"/>
  </w:num>
  <w:num w:numId="3">
    <w:abstractNumId w:val="4"/>
  </w:num>
  <w:num w:numId="4">
    <w:abstractNumId w:val="6"/>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0ZjNjYzViNGQwNmIzZWU5ZmY5OGFhMzA5YTVmNTUifQ=="/>
  </w:docVars>
  <w:rsids>
    <w:rsidRoot w:val="00925EA8"/>
    <w:rsid w:val="00013AC5"/>
    <w:rsid w:val="000176FA"/>
    <w:rsid w:val="000320C1"/>
    <w:rsid w:val="000A52FF"/>
    <w:rsid w:val="000B3136"/>
    <w:rsid w:val="000D002C"/>
    <w:rsid w:val="000E02B3"/>
    <w:rsid w:val="000F6AB4"/>
    <w:rsid w:val="00100B90"/>
    <w:rsid w:val="001974A4"/>
    <w:rsid w:val="001C16F6"/>
    <w:rsid w:val="00211344"/>
    <w:rsid w:val="004344FA"/>
    <w:rsid w:val="004A7C9A"/>
    <w:rsid w:val="004C2B78"/>
    <w:rsid w:val="00500740"/>
    <w:rsid w:val="00545471"/>
    <w:rsid w:val="00575750"/>
    <w:rsid w:val="0058679B"/>
    <w:rsid w:val="005F4D92"/>
    <w:rsid w:val="00620EA6"/>
    <w:rsid w:val="006575E2"/>
    <w:rsid w:val="006841D4"/>
    <w:rsid w:val="007017C3"/>
    <w:rsid w:val="0071695C"/>
    <w:rsid w:val="007A3BC9"/>
    <w:rsid w:val="00827F17"/>
    <w:rsid w:val="00861407"/>
    <w:rsid w:val="008926BB"/>
    <w:rsid w:val="008F04C5"/>
    <w:rsid w:val="008F50A2"/>
    <w:rsid w:val="00925EA8"/>
    <w:rsid w:val="009B089F"/>
    <w:rsid w:val="00A01F6B"/>
    <w:rsid w:val="00A13103"/>
    <w:rsid w:val="00AB5F12"/>
    <w:rsid w:val="00B02446"/>
    <w:rsid w:val="00B53767"/>
    <w:rsid w:val="00B5576B"/>
    <w:rsid w:val="00B82747"/>
    <w:rsid w:val="00C54FFE"/>
    <w:rsid w:val="00C666E8"/>
    <w:rsid w:val="00CA76F7"/>
    <w:rsid w:val="00D56868"/>
    <w:rsid w:val="00D910B2"/>
    <w:rsid w:val="00E360F1"/>
    <w:rsid w:val="00EE41A9"/>
    <w:rsid w:val="00FD1894"/>
    <w:rsid w:val="01B043B5"/>
    <w:rsid w:val="0325208B"/>
    <w:rsid w:val="03B02B5A"/>
    <w:rsid w:val="056F5558"/>
    <w:rsid w:val="08A94889"/>
    <w:rsid w:val="0D083675"/>
    <w:rsid w:val="13BD53DD"/>
    <w:rsid w:val="160E0421"/>
    <w:rsid w:val="17EA0A1A"/>
    <w:rsid w:val="1AF30046"/>
    <w:rsid w:val="1C786DE1"/>
    <w:rsid w:val="24EC3AC5"/>
    <w:rsid w:val="25F73270"/>
    <w:rsid w:val="2B195446"/>
    <w:rsid w:val="2BEF61A7"/>
    <w:rsid w:val="2CE618B6"/>
    <w:rsid w:val="2D74604A"/>
    <w:rsid w:val="2EE30F1C"/>
    <w:rsid w:val="36FC6994"/>
    <w:rsid w:val="38F54FFF"/>
    <w:rsid w:val="3ACA3AED"/>
    <w:rsid w:val="3E344619"/>
    <w:rsid w:val="3E481E73"/>
    <w:rsid w:val="449B7B36"/>
    <w:rsid w:val="45BE0AF7"/>
    <w:rsid w:val="496D6C31"/>
    <w:rsid w:val="51A828AA"/>
    <w:rsid w:val="53171462"/>
    <w:rsid w:val="659E006D"/>
    <w:rsid w:val="69912070"/>
    <w:rsid w:val="78A21BA4"/>
    <w:rsid w:val="7A59273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kern w:val="0"/>
      <w:sz w:val="22"/>
      <w:szCs w:val="22"/>
      <w:lang w:val="en-US" w:eastAsia="zh-CN" w:bidi="ar-SA"/>
    </w:rPr>
  </w:style>
  <w:style w:type="paragraph" w:styleId="3">
    <w:name w:val="heading 1"/>
    <w:basedOn w:val="1"/>
    <w:next w:val="1"/>
    <w:link w:val="26"/>
    <w:qFormat/>
    <w:uiPriority w:val="9"/>
    <w:pPr>
      <w:keepNext/>
      <w:keepLines/>
      <w:spacing w:before="480" w:after="80"/>
      <w:outlineLvl w:val="0"/>
    </w:pPr>
    <w:rPr>
      <w:rFonts w:asciiTheme="majorHAnsi" w:hAnsiTheme="majorHAnsi" w:eastAsiaTheme="majorEastAsia" w:cstheme="majorBidi"/>
      <w:color w:val="376092" w:themeColor="accent1" w:themeShade="BF"/>
      <w:sz w:val="48"/>
      <w:szCs w:val="48"/>
    </w:rPr>
  </w:style>
  <w:style w:type="paragraph" w:styleId="4">
    <w:name w:val="heading 2"/>
    <w:basedOn w:val="1"/>
    <w:next w:val="1"/>
    <w:link w:val="27"/>
    <w:unhideWhenUsed/>
    <w:qFormat/>
    <w:uiPriority w:val="0"/>
    <w:pPr>
      <w:keepNext/>
      <w:keepLines/>
      <w:spacing w:before="160" w:after="80"/>
      <w:outlineLvl w:val="1"/>
    </w:pPr>
    <w:rPr>
      <w:rFonts w:asciiTheme="majorHAnsi" w:hAnsiTheme="majorHAnsi" w:eastAsiaTheme="majorEastAsia" w:cstheme="majorBidi"/>
      <w:color w:val="376092" w:themeColor="accent1" w:themeShade="BF"/>
      <w:sz w:val="40"/>
      <w:szCs w:val="40"/>
    </w:rPr>
  </w:style>
  <w:style w:type="paragraph" w:styleId="5">
    <w:name w:val="heading 3"/>
    <w:basedOn w:val="1"/>
    <w:next w:val="1"/>
    <w:link w:val="28"/>
    <w:semiHidden/>
    <w:unhideWhenUsed/>
    <w:qFormat/>
    <w:uiPriority w:val="0"/>
    <w:pPr>
      <w:keepNext/>
      <w:keepLines/>
      <w:spacing w:before="160" w:after="80"/>
      <w:outlineLvl w:val="2"/>
    </w:pPr>
    <w:rPr>
      <w:rFonts w:asciiTheme="majorHAnsi" w:hAnsiTheme="majorHAnsi" w:eastAsiaTheme="majorEastAsia" w:cstheme="majorBidi"/>
      <w:color w:val="376092" w:themeColor="accent1" w:themeShade="BF"/>
      <w:sz w:val="32"/>
      <w:szCs w:val="32"/>
    </w:rPr>
  </w:style>
  <w:style w:type="paragraph" w:styleId="6">
    <w:name w:val="heading 4"/>
    <w:basedOn w:val="1"/>
    <w:next w:val="1"/>
    <w:link w:val="29"/>
    <w:semiHidden/>
    <w:unhideWhenUsed/>
    <w:qFormat/>
    <w:uiPriority w:val="9"/>
    <w:pPr>
      <w:keepNext/>
      <w:keepLines/>
      <w:spacing w:before="80" w:after="40"/>
      <w:outlineLvl w:val="3"/>
    </w:pPr>
    <w:rPr>
      <w:rFonts w:cstheme="majorBidi"/>
      <w:color w:val="376092" w:themeColor="accent1" w:themeShade="BF"/>
      <w:sz w:val="28"/>
      <w:szCs w:val="28"/>
    </w:rPr>
  </w:style>
  <w:style w:type="paragraph" w:styleId="7">
    <w:name w:val="heading 5"/>
    <w:basedOn w:val="1"/>
    <w:next w:val="1"/>
    <w:link w:val="30"/>
    <w:semiHidden/>
    <w:unhideWhenUsed/>
    <w:qFormat/>
    <w:uiPriority w:val="9"/>
    <w:pPr>
      <w:keepNext/>
      <w:keepLines/>
      <w:spacing w:before="80" w:after="40"/>
      <w:outlineLvl w:val="4"/>
    </w:pPr>
    <w:rPr>
      <w:rFonts w:cstheme="majorBidi"/>
      <w:color w:val="376092" w:themeColor="accent1" w:themeShade="BF"/>
      <w:sz w:val="24"/>
      <w:szCs w:val="24"/>
    </w:rPr>
  </w:style>
  <w:style w:type="paragraph" w:styleId="8">
    <w:name w:val="heading 6"/>
    <w:basedOn w:val="1"/>
    <w:next w:val="1"/>
    <w:link w:val="31"/>
    <w:semiHidden/>
    <w:unhideWhenUsed/>
    <w:qFormat/>
    <w:uiPriority w:val="9"/>
    <w:pPr>
      <w:keepNext/>
      <w:keepLines/>
      <w:spacing w:before="40"/>
      <w:outlineLvl w:val="5"/>
    </w:pPr>
    <w:rPr>
      <w:rFonts w:cstheme="majorBidi"/>
      <w:b/>
      <w:bCs/>
      <w:color w:val="376092" w:themeColor="accent1" w:themeShade="BF"/>
    </w:rPr>
  </w:style>
  <w:style w:type="paragraph" w:styleId="9">
    <w:name w:val="heading 7"/>
    <w:basedOn w:val="1"/>
    <w:next w:val="1"/>
    <w:link w:val="32"/>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33"/>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34"/>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50"/>
    <w:semiHidden/>
    <w:unhideWhenUsed/>
    <w:qFormat/>
    <w:uiPriority w:val="99"/>
    <w:pPr>
      <w:spacing w:after="120"/>
    </w:pPr>
  </w:style>
  <w:style w:type="paragraph" w:styleId="12">
    <w:name w:val="Normal Indent"/>
    <w:basedOn w:val="1"/>
    <w:link w:val="48"/>
    <w:qFormat/>
    <w:uiPriority w:val="0"/>
    <w:pPr>
      <w:adjustRightInd/>
      <w:snapToGrid/>
      <w:spacing w:after="0"/>
      <w:ind w:firstLine="420"/>
    </w:pPr>
    <w:rPr>
      <w:rFonts w:ascii="Times New Roman" w:hAnsi="Times New Roman" w:eastAsia="宋体"/>
      <w:sz w:val="20"/>
      <w:szCs w:val="20"/>
    </w:rPr>
  </w:style>
  <w:style w:type="paragraph" w:styleId="13">
    <w:name w:val="Balloon Text"/>
    <w:basedOn w:val="1"/>
    <w:link w:val="53"/>
    <w:semiHidden/>
    <w:unhideWhenUsed/>
    <w:qFormat/>
    <w:uiPriority w:val="99"/>
    <w:pPr>
      <w:spacing w:after="0"/>
    </w:pPr>
    <w:rPr>
      <w:sz w:val="18"/>
      <w:szCs w:val="18"/>
    </w:rPr>
  </w:style>
  <w:style w:type="paragraph" w:styleId="14">
    <w:name w:val="footer"/>
    <w:basedOn w:val="1"/>
    <w:link w:val="45"/>
    <w:unhideWhenUsed/>
    <w:qFormat/>
    <w:uiPriority w:val="99"/>
    <w:pPr>
      <w:tabs>
        <w:tab w:val="center" w:pos="4153"/>
        <w:tab w:val="right" w:pos="8306"/>
      </w:tabs>
    </w:pPr>
    <w:rPr>
      <w:sz w:val="18"/>
      <w:szCs w:val="18"/>
    </w:rPr>
  </w:style>
  <w:style w:type="paragraph" w:styleId="15">
    <w:name w:val="header"/>
    <w:basedOn w:val="1"/>
    <w:link w:val="44"/>
    <w:unhideWhenUsed/>
    <w:qFormat/>
    <w:uiPriority w:val="99"/>
    <w:pPr>
      <w:tabs>
        <w:tab w:val="center" w:pos="4153"/>
        <w:tab w:val="right" w:pos="8306"/>
      </w:tabs>
      <w:jc w:val="center"/>
    </w:pPr>
    <w:rPr>
      <w:sz w:val="18"/>
      <w:szCs w:val="18"/>
    </w:rPr>
  </w:style>
  <w:style w:type="paragraph" w:styleId="16">
    <w:name w:val="Subtitle"/>
    <w:basedOn w:val="1"/>
    <w:next w:val="1"/>
    <w:link w:val="36"/>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Body Text 2"/>
    <w:basedOn w:val="1"/>
    <w:link w:val="46"/>
    <w:qFormat/>
    <w:uiPriority w:val="0"/>
    <w:pPr>
      <w:spacing w:after="120" w:line="480" w:lineRule="auto"/>
    </w:pPr>
  </w:style>
  <w:style w:type="paragraph" w:styleId="18">
    <w:name w:val="HTML Preformatted"/>
    <w:basedOn w:val="1"/>
    <w:link w:val="49"/>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pPr>
    <w:rPr>
      <w:rFonts w:ascii="宋体" w:hAnsi="宋体" w:eastAsia="宋体"/>
      <w:sz w:val="24"/>
      <w:szCs w:val="24"/>
    </w:rPr>
  </w:style>
  <w:style w:type="paragraph" w:styleId="19">
    <w:name w:val="Normal (Web)"/>
    <w:basedOn w:val="1"/>
    <w:unhideWhenUsed/>
    <w:qFormat/>
    <w:uiPriority w:val="99"/>
    <w:pPr>
      <w:spacing w:before="100" w:beforeAutospacing="1" w:after="100" w:afterAutospacing="1"/>
    </w:pPr>
    <w:rPr>
      <w:sz w:val="24"/>
    </w:rPr>
  </w:style>
  <w:style w:type="paragraph" w:styleId="20">
    <w:name w:val="Title"/>
    <w:basedOn w:val="1"/>
    <w:next w:val="1"/>
    <w:link w:val="35"/>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21">
    <w:name w:val="Body Text First Indent"/>
    <w:basedOn w:val="2"/>
    <w:link w:val="51"/>
    <w:unhideWhenUsed/>
    <w:qFormat/>
    <w:uiPriority w:val="0"/>
    <w:pPr>
      <w:ind w:firstLine="420" w:firstLineChars="100"/>
    </w:pPr>
  </w:style>
  <w:style w:type="table" w:styleId="23">
    <w:name w:val="Table Grid"/>
    <w:basedOn w:val="22"/>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b/>
    </w:rPr>
  </w:style>
  <w:style w:type="character" w:customStyle="1" w:styleId="26">
    <w:name w:val="标题 1 Char"/>
    <w:basedOn w:val="24"/>
    <w:link w:val="3"/>
    <w:qFormat/>
    <w:uiPriority w:val="9"/>
    <w:rPr>
      <w:rFonts w:asciiTheme="majorHAnsi" w:hAnsiTheme="majorHAnsi" w:eastAsiaTheme="majorEastAsia" w:cstheme="majorBidi"/>
      <w:color w:val="376092" w:themeColor="accent1" w:themeShade="BF"/>
      <w:sz w:val="48"/>
      <w:szCs w:val="48"/>
    </w:rPr>
  </w:style>
  <w:style w:type="character" w:customStyle="1" w:styleId="27">
    <w:name w:val="标题 2 Char"/>
    <w:basedOn w:val="24"/>
    <w:link w:val="4"/>
    <w:qFormat/>
    <w:uiPriority w:val="0"/>
    <w:rPr>
      <w:rFonts w:asciiTheme="majorHAnsi" w:hAnsiTheme="majorHAnsi" w:eastAsiaTheme="majorEastAsia" w:cstheme="majorBidi"/>
      <w:color w:val="376092" w:themeColor="accent1" w:themeShade="BF"/>
      <w:sz w:val="40"/>
      <w:szCs w:val="40"/>
    </w:rPr>
  </w:style>
  <w:style w:type="character" w:customStyle="1" w:styleId="28">
    <w:name w:val="标题 3 Char"/>
    <w:basedOn w:val="24"/>
    <w:link w:val="5"/>
    <w:semiHidden/>
    <w:qFormat/>
    <w:uiPriority w:val="0"/>
    <w:rPr>
      <w:rFonts w:asciiTheme="majorHAnsi" w:hAnsiTheme="majorHAnsi" w:eastAsiaTheme="majorEastAsia" w:cstheme="majorBidi"/>
      <w:color w:val="376092" w:themeColor="accent1" w:themeShade="BF"/>
      <w:sz w:val="32"/>
      <w:szCs w:val="32"/>
    </w:rPr>
  </w:style>
  <w:style w:type="character" w:customStyle="1" w:styleId="29">
    <w:name w:val="标题 4 Char"/>
    <w:basedOn w:val="24"/>
    <w:link w:val="6"/>
    <w:semiHidden/>
    <w:qFormat/>
    <w:uiPriority w:val="9"/>
    <w:rPr>
      <w:rFonts w:cstheme="majorBidi"/>
      <w:color w:val="376092" w:themeColor="accent1" w:themeShade="BF"/>
      <w:sz w:val="28"/>
      <w:szCs w:val="28"/>
    </w:rPr>
  </w:style>
  <w:style w:type="character" w:customStyle="1" w:styleId="30">
    <w:name w:val="标题 5 Char"/>
    <w:basedOn w:val="24"/>
    <w:link w:val="7"/>
    <w:semiHidden/>
    <w:qFormat/>
    <w:uiPriority w:val="9"/>
    <w:rPr>
      <w:rFonts w:cstheme="majorBidi"/>
      <w:color w:val="376092" w:themeColor="accent1" w:themeShade="BF"/>
      <w:sz w:val="24"/>
      <w:szCs w:val="24"/>
    </w:rPr>
  </w:style>
  <w:style w:type="character" w:customStyle="1" w:styleId="31">
    <w:name w:val="标题 6 Char"/>
    <w:basedOn w:val="24"/>
    <w:link w:val="8"/>
    <w:semiHidden/>
    <w:qFormat/>
    <w:uiPriority w:val="9"/>
    <w:rPr>
      <w:rFonts w:cstheme="majorBidi"/>
      <w:b/>
      <w:bCs/>
      <w:color w:val="376092" w:themeColor="accent1" w:themeShade="BF"/>
    </w:rPr>
  </w:style>
  <w:style w:type="character" w:customStyle="1" w:styleId="32">
    <w:name w:val="标题 7 Char"/>
    <w:basedOn w:val="24"/>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3">
    <w:name w:val="标题 8 Char"/>
    <w:basedOn w:val="24"/>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4">
    <w:name w:val="标题 9 Char"/>
    <w:basedOn w:val="24"/>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5">
    <w:name w:val="标题 Char"/>
    <w:basedOn w:val="24"/>
    <w:link w:val="20"/>
    <w:qFormat/>
    <w:uiPriority w:val="10"/>
    <w:rPr>
      <w:rFonts w:asciiTheme="majorHAnsi" w:hAnsiTheme="majorHAnsi" w:eastAsiaTheme="majorEastAsia" w:cstheme="majorBidi"/>
      <w:spacing w:val="-10"/>
      <w:kern w:val="28"/>
      <w:sz w:val="56"/>
      <w:szCs w:val="56"/>
    </w:rPr>
  </w:style>
  <w:style w:type="character" w:customStyle="1" w:styleId="36">
    <w:name w:val="副标题 Char"/>
    <w:basedOn w:val="24"/>
    <w:link w:val="16"/>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7">
    <w:name w:val="Quote"/>
    <w:basedOn w:val="1"/>
    <w:next w:val="1"/>
    <w:link w:val="38"/>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8">
    <w:name w:val="引用 Char"/>
    <w:basedOn w:val="24"/>
    <w:link w:val="37"/>
    <w:qFormat/>
    <w:uiPriority w:val="29"/>
    <w:rPr>
      <w:i/>
      <w:iCs/>
      <w:color w:val="404040" w:themeColor="text1" w:themeTint="BF"/>
      <w14:textFill>
        <w14:solidFill>
          <w14:schemeClr w14:val="tx1">
            <w14:lumMod w14:val="75000"/>
            <w14:lumOff w14:val="25000"/>
          </w14:schemeClr>
        </w14:solidFill>
      </w14:textFill>
    </w:rPr>
  </w:style>
  <w:style w:type="paragraph" w:styleId="39">
    <w:name w:val="List Paragraph"/>
    <w:basedOn w:val="1"/>
    <w:qFormat/>
    <w:uiPriority w:val="99"/>
    <w:pPr>
      <w:ind w:left="720"/>
      <w:contextualSpacing/>
    </w:pPr>
  </w:style>
  <w:style w:type="character" w:customStyle="1" w:styleId="40">
    <w:name w:val="Intense Emphasis"/>
    <w:basedOn w:val="24"/>
    <w:qFormat/>
    <w:uiPriority w:val="21"/>
    <w:rPr>
      <w:i/>
      <w:iCs/>
      <w:color w:val="376092" w:themeColor="accent1" w:themeShade="BF"/>
    </w:rPr>
  </w:style>
  <w:style w:type="paragraph" w:styleId="41">
    <w:name w:val="Intense Quote"/>
    <w:basedOn w:val="1"/>
    <w:next w:val="1"/>
    <w:link w:val="42"/>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42">
    <w:name w:val="明显引用 Char"/>
    <w:basedOn w:val="24"/>
    <w:link w:val="41"/>
    <w:qFormat/>
    <w:uiPriority w:val="30"/>
    <w:rPr>
      <w:i/>
      <w:iCs/>
      <w:color w:val="376092" w:themeColor="accent1" w:themeShade="BF"/>
    </w:rPr>
  </w:style>
  <w:style w:type="character" w:customStyle="1" w:styleId="43">
    <w:name w:val="Intense Reference"/>
    <w:basedOn w:val="24"/>
    <w:qFormat/>
    <w:uiPriority w:val="32"/>
    <w:rPr>
      <w:b/>
      <w:bCs/>
      <w:smallCaps/>
      <w:color w:val="376092" w:themeColor="accent1" w:themeShade="BF"/>
      <w:spacing w:val="5"/>
    </w:rPr>
  </w:style>
  <w:style w:type="character" w:customStyle="1" w:styleId="44">
    <w:name w:val="页眉 Char"/>
    <w:basedOn w:val="24"/>
    <w:link w:val="15"/>
    <w:qFormat/>
    <w:uiPriority w:val="99"/>
    <w:rPr>
      <w:sz w:val="18"/>
      <w:szCs w:val="18"/>
    </w:rPr>
  </w:style>
  <w:style w:type="character" w:customStyle="1" w:styleId="45">
    <w:name w:val="页脚 Char"/>
    <w:basedOn w:val="24"/>
    <w:link w:val="14"/>
    <w:qFormat/>
    <w:uiPriority w:val="99"/>
    <w:rPr>
      <w:sz w:val="18"/>
      <w:szCs w:val="18"/>
    </w:rPr>
  </w:style>
  <w:style w:type="character" w:customStyle="1" w:styleId="46">
    <w:name w:val="正文文本 2 Char"/>
    <w:basedOn w:val="24"/>
    <w:link w:val="17"/>
    <w:qFormat/>
    <w:uiPriority w:val="0"/>
    <w:rPr>
      <w:rFonts w:ascii="Tahoma" w:hAnsi="Tahoma" w:eastAsia="微软雅黑" w:cs="Times New Roman"/>
      <w:kern w:val="0"/>
      <w:sz w:val="22"/>
    </w:rPr>
  </w:style>
  <w:style w:type="paragraph" w:customStyle="1" w:styleId="47">
    <w:name w:val="null3"/>
    <w:qFormat/>
    <w:uiPriority w:val="0"/>
    <w:rPr>
      <w:rFonts w:hint="eastAsia" w:ascii="Calibri" w:hAnsi="Calibri" w:eastAsia="宋体" w:cs="Times New Roman"/>
      <w:kern w:val="0"/>
      <w:sz w:val="20"/>
      <w:szCs w:val="20"/>
      <w:lang w:val="en-US" w:eastAsia="zh-CN" w:bidi="ar-SA"/>
    </w:rPr>
  </w:style>
  <w:style w:type="character" w:customStyle="1" w:styleId="48">
    <w:name w:val="正文缩进 Char"/>
    <w:link w:val="12"/>
    <w:qFormat/>
    <w:uiPriority w:val="0"/>
    <w:rPr>
      <w:rFonts w:ascii="Times New Roman" w:hAnsi="Times New Roman" w:eastAsia="宋体" w:cs="Times New Roman"/>
      <w:kern w:val="0"/>
      <w:sz w:val="20"/>
      <w:szCs w:val="20"/>
    </w:rPr>
  </w:style>
  <w:style w:type="character" w:customStyle="1" w:styleId="49">
    <w:name w:val="HTML 预设格式 Char"/>
    <w:basedOn w:val="24"/>
    <w:link w:val="18"/>
    <w:qFormat/>
    <w:uiPriority w:val="0"/>
    <w:rPr>
      <w:rFonts w:ascii="宋体" w:hAnsi="宋体" w:eastAsia="宋体" w:cs="Times New Roman"/>
      <w:kern w:val="0"/>
      <w:sz w:val="24"/>
      <w:szCs w:val="24"/>
    </w:rPr>
  </w:style>
  <w:style w:type="character" w:customStyle="1" w:styleId="50">
    <w:name w:val="正文文本 Char"/>
    <w:basedOn w:val="24"/>
    <w:link w:val="2"/>
    <w:semiHidden/>
    <w:qFormat/>
    <w:uiPriority w:val="99"/>
    <w:rPr>
      <w:rFonts w:ascii="Tahoma" w:hAnsi="Tahoma" w:eastAsia="微软雅黑" w:cs="Times New Roman"/>
      <w:kern w:val="0"/>
      <w:sz w:val="22"/>
    </w:rPr>
  </w:style>
  <w:style w:type="character" w:customStyle="1" w:styleId="51">
    <w:name w:val="正文首行缩进 Char"/>
    <w:basedOn w:val="50"/>
    <w:link w:val="21"/>
    <w:qFormat/>
    <w:uiPriority w:val="0"/>
    <w:rPr>
      <w:rFonts w:ascii="Tahoma" w:hAnsi="Tahoma" w:eastAsia="微软雅黑" w:cs="Times New Roman"/>
      <w:kern w:val="0"/>
      <w:sz w:val="22"/>
    </w:rPr>
  </w:style>
  <w:style w:type="character" w:customStyle="1" w:styleId="52">
    <w:name w:val="font21"/>
    <w:basedOn w:val="24"/>
    <w:autoRedefine/>
    <w:qFormat/>
    <w:uiPriority w:val="0"/>
    <w:rPr>
      <w:rFonts w:hint="eastAsia" w:ascii="宋体" w:hAnsi="宋体" w:eastAsia="宋体" w:cs="宋体"/>
      <w:color w:val="000000"/>
      <w:sz w:val="22"/>
      <w:szCs w:val="22"/>
      <w:u w:val="none"/>
    </w:rPr>
  </w:style>
  <w:style w:type="character" w:customStyle="1" w:styleId="53">
    <w:name w:val="批注框文本 Char"/>
    <w:basedOn w:val="24"/>
    <w:link w:val="13"/>
    <w:semiHidden/>
    <w:qFormat/>
    <w:uiPriority w:val="99"/>
    <w:rPr>
      <w:rFonts w:ascii="Tahoma" w:hAnsi="Tahoma" w:eastAsia="微软雅黑" w:cs="Times New Roman"/>
      <w:kern w:val="0"/>
      <w:sz w:val="18"/>
      <w:szCs w:val="18"/>
    </w:rPr>
  </w:style>
  <w:style w:type="paragraph" w:customStyle="1" w:styleId="54">
    <w:name w:val="正文 A"/>
    <w:basedOn w:val="1"/>
    <w:qFormat/>
    <w:uiPriority w:val="0"/>
    <w:pPr>
      <w:spacing w:line="240" w:lineRule="auto"/>
      <w:ind w:firstLine="0" w:firstLineChars="0"/>
    </w:pPr>
    <w:rPr>
      <w:rFonts w:ascii="Calibri" w:hAnsi="Calibri" w:eastAsia="宋体" w:cs="Times New Roman"/>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21</Pages>
  <Words>2015</Words>
  <Characters>2181</Characters>
  <Lines>35</Lines>
  <Paragraphs>9</Paragraphs>
  <TotalTime>36</TotalTime>
  <ScaleCrop>false</ScaleCrop>
  <LinksUpToDate>false</LinksUpToDate>
  <CharactersWithSpaces>2234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2024-07-22T08:42:00Z</dcterms:created>
  <dc:creator>Admin</dc:creator>
  <cp:lastModifiedBy>陈永秀</cp:lastModifiedBy>
  <dcterms:modified xsi:type="dcterms:W3CDTF">2025-11-20T08:27:29Z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6583CA200BFD493CB1A342FF56B2D2D7_13</vt:lpwstr>
  </property>
  <property fmtid="{D5CDD505-2E9C-101B-9397-08002B2CF9AE}" pid="4" name="KSOTemplateDocerSaveRecord">
    <vt:lpwstr>eyJoZGlkIjoiMGQwZjNhZjI0MTEwNDAxMmI2ODI4YThjZGQ0NjZhNTciLCJ1c2VySWQiOiIxNzI5NDY5MTQ3In0=</vt:lpwstr>
  </property>
</Properties>
</file>