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ascii="仿宋_GB2312" w:hAnsi="仿宋_GB2312" w:eastAsia="方正小标宋简体" w:cs="仿宋_GB2312"/>
          <w:b w:val="0"/>
          <w:kern w:val="2"/>
          <w:sz w:val="32"/>
          <w:szCs w:val="32"/>
        </w:rPr>
      </w:pPr>
      <w:r>
        <w:rPr>
          <w:rFonts w:hint="eastAsia" w:ascii="方正小标宋简体" w:hAnsi="方正小标宋简体" w:eastAsia="方正小标宋简体" w:cs="方正小标宋简体"/>
          <w:b w:val="0"/>
          <w:kern w:val="2"/>
          <w:szCs w:val="44"/>
        </w:rPr>
        <w:t>福建省肿瘤医院采购调研公告</w:t>
      </w:r>
    </w:p>
    <w:p>
      <w:pPr>
        <w:widowControl/>
        <w:shd w:val="clear" w:color="auto" w:fill="FFFFFF"/>
        <w:adjustRightInd w:val="0"/>
        <w:snapToGrid w:val="0"/>
        <w:spacing w:before="158" w:beforeLines="50" w:line="59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第一部分 须知前附表</w:t>
      </w:r>
    </w:p>
    <w:tbl>
      <w:tblPr>
        <w:tblStyle w:val="11"/>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9"/>
              <w:widowControl/>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15" w:lineRule="atLeas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15" w:lineRule="atLeas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项目名称：病理技术质控全流程管理系统项目</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before="150" w:line="560" w:lineRule="exact"/>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调研报名时间： 202</w:t>
            </w:r>
            <w:r>
              <w:rPr>
                <w:rFonts w:hint="eastAsia" w:ascii="仿宋_GB2312" w:hAnsi="仿宋_GB2312" w:eastAsia="仿宋_GB2312" w:cs="仿宋_GB2312"/>
                <w:color w:val="000000"/>
                <w:kern w:val="0"/>
                <w:sz w:val="32"/>
                <w:szCs w:val="32"/>
                <w:highlight w:val="none"/>
                <w:lang w:val="en-US" w:eastAsia="zh-CN"/>
              </w:rPr>
              <w:t>5</w:t>
            </w:r>
            <w:r>
              <w:rPr>
                <w:rFonts w:hint="eastAsia" w:ascii="仿宋_GB2312" w:hAnsi="仿宋_GB2312" w:eastAsia="仿宋_GB2312" w:cs="仿宋_GB2312"/>
                <w:color w:val="000000"/>
                <w:kern w:val="0"/>
                <w:sz w:val="32"/>
                <w:szCs w:val="32"/>
                <w:highlight w:val="none"/>
              </w:rPr>
              <w:t xml:space="preserve"> 年</w:t>
            </w:r>
            <w:r>
              <w:rPr>
                <w:rFonts w:hint="eastAsia" w:ascii="仿宋_GB2312" w:hAnsi="仿宋_GB2312" w:eastAsia="仿宋_GB2312" w:cs="仿宋_GB2312"/>
                <w:color w:val="000000"/>
                <w:kern w:val="0"/>
                <w:sz w:val="32"/>
                <w:szCs w:val="32"/>
                <w:highlight w:val="none"/>
                <w:u w:val="single"/>
                <w:lang w:val="en-US" w:eastAsia="zh-CN"/>
              </w:rPr>
              <w:t>11</w:t>
            </w:r>
            <w:r>
              <w:rPr>
                <w:rFonts w:hint="eastAsia" w:ascii="仿宋_GB2312" w:hAnsi="仿宋_GB2312" w:eastAsia="仿宋_GB2312" w:cs="仿宋_GB2312"/>
                <w:color w:val="000000"/>
                <w:kern w:val="0"/>
                <w:sz w:val="32"/>
                <w:szCs w:val="32"/>
                <w:highlight w:val="none"/>
              </w:rPr>
              <w:t xml:space="preserve">月 </w:t>
            </w:r>
            <w:r>
              <w:rPr>
                <w:rFonts w:hint="eastAsia" w:ascii="仿宋_GB2312" w:hAnsi="仿宋_GB2312" w:eastAsia="仿宋_GB2312" w:cs="仿宋_GB2312"/>
                <w:color w:val="000000"/>
                <w:kern w:val="0"/>
                <w:sz w:val="32"/>
                <w:szCs w:val="32"/>
                <w:highlight w:val="none"/>
                <w:u w:val="single"/>
                <w:lang w:val="en-US" w:eastAsia="zh-CN"/>
              </w:rPr>
              <w:t>24</w:t>
            </w:r>
            <w:r>
              <w:rPr>
                <w:rFonts w:hint="eastAsia" w:ascii="仿宋_GB2312" w:hAnsi="仿宋_GB2312" w:eastAsia="仿宋_GB2312" w:cs="仿宋_GB2312"/>
                <w:color w:val="000000"/>
                <w:kern w:val="0"/>
                <w:sz w:val="32"/>
                <w:szCs w:val="32"/>
                <w:highlight w:val="none"/>
              </w:rPr>
              <w:t xml:space="preserve">日至 </w:t>
            </w:r>
            <w:r>
              <w:rPr>
                <w:rFonts w:hint="eastAsia" w:ascii="仿宋_GB2312" w:hAnsi="仿宋_GB2312" w:eastAsia="仿宋_GB2312" w:cs="仿宋_GB2312"/>
                <w:color w:val="000000"/>
                <w:kern w:val="0"/>
                <w:sz w:val="32"/>
                <w:szCs w:val="32"/>
                <w:highlight w:val="none"/>
                <w:u w:val="single"/>
                <w:lang w:val="en-US" w:eastAsia="zh-CN"/>
              </w:rPr>
              <w:t>11</w:t>
            </w:r>
            <w:r>
              <w:rPr>
                <w:rFonts w:hint="eastAsia" w:ascii="仿宋_GB2312" w:hAnsi="仿宋_GB2312" w:eastAsia="仿宋_GB2312" w:cs="仿宋_GB2312"/>
                <w:color w:val="000000"/>
                <w:kern w:val="0"/>
                <w:sz w:val="32"/>
                <w:szCs w:val="32"/>
                <w:highlight w:val="none"/>
              </w:rPr>
              <w:t>月</w:t>
            </w:r>
            <w:r>
              <w:rPr>
                <w:rFonts w:hint="eastAsia" w:ascii="仿宋_GB2312" w:hAnsi="仿宋_GB2312" w:eastAsia="仿宋_GB2312" w:cs="仿宋_GB2312"/>
                <w:color w:val="000000"/>
                <w:kern w:val="0"/>
                <w:sz w:val="32"/>
                <w:szCs w:val="32"/>
                <w:highlight w:val="none"/>
                <w:u w:val="single"/>
                <w:lang w:val="en-US" w:eastAsia="zh-CN"/>
              </w:rPr>
              <w:t>28</w:t>
            </w:r>
            <w:r>
              <w:rPr>
                <w:rFonts w:hint="eastAsia" w:ascii="仿宋_GB2312" w:hAnsi="仿宋_GB2312" w:eastAsia="仿宋_GB2312" w:cs="仿宋_GB2312"/>
                <w:color w:val="000000"/>
                <w:kern w:val="0"/>
                <w:sz w:val="32"/>
                <w:szCs w:val="32"/>
                <w:highlight w:val="none"/>
              </w:rPr>
              <w:t xml:space="preserve">日 </w:t>
            </w:r>
            <w:r>
              <w:rPr>
                <w:rFonts w:hint="eastAsia" w:ascii="仿宋_GB2312" w:hAnsi="仿宋_GB2312" w:eastAsia="仿宋_GB2312" w:cs="仿宋_GB2312"/>
                <w:color w:val="000000"/>
                <w:spacing w:val="-8"/>
                <w:kern w:val="0"/>
                <w:sz w:val="32"/>
                <w:szCs w:val="32"/>
                <w:highlight w:val="none"/>
                <w:shd w:val="clear" w:color="auto" w:fill="FFFFFF"/>
              </w:rPr>
              <w:t>(节假日除外)8：00-12：00或14：00-17：00(北京时间）</w:t>
            </w:r>
          </w:p>
          <w:p>
            <w:pPr>
              <w:widowControl/>
              <w:spacing w:line="315" w:lineRule="atLeast"/>
              <w:rPr>
                <w:rFonts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highlight w:val="none"/>
              </w:rPr>
              <w:t>调研会时间： 202</w:t>
            </w:r>
            <w:r>
              <w:rPr>
                <w:rFonts w:hint="eastAsia" w:ascii="仿宋_GB2312" w:hAnsi="仿宋_GB2312" w:eastAsia="仿宋_GB2312" w:cs="仿宋_GB2312"/>
                <w:color w:val="000000"/>
                <w:kern w:val="0"/>
                <w:sz w:val="32"/>
                <w:szCs w:val="32"/>
                <w:highlight w:val="none"/>
                <w:lang w:val="en-US" w:eastAsia="zh-CN"/>
              </w:rPr>
              <w:t>5</w:t>
            </w:r>
            <w:r>
              <w:rPr>
                <w:rFonts w:hint="eastAsia" w:ascii="仿宋_GB2312" w:hAnsi="仿宋_GB2312" w:eastAsia="仿宋_GB2312" w:cs="仿宋_GB2312"/>
                <w:color w:val="000000"/>
                <w:kern w:val="0"/>
                <w:sz w:val="32"/>
                <w:szCs w:val="32"/>
                <w:highlight w:val="none"/>
              </w:rPr>
              <w:t xml:space="preserve"> 年</w:t>
            </w:r>
            <w:r>
              <w:rPr>
                <w:rFonts w:hint="eastAsia" w:ascii="仿宋_GB2312" w:hAnsi="仿宋_GB2312" w:eastAsia="仿宋_GB2312" w:cs="仿宋_GB2312"/>
                <w:color w:val="000000"/>
                <w:kern w:val="0"/>
                <w:sz w:val="32"/>
                <w:szCs w:val="32"/>
                <w:highlight w:val="none"/>
                <w:u w:val="single"/>
                <w:lang w:val="en-US" w:eastAsia="zh-CN"/>
              </w:rPr>
              <w:t>12</w:t>
            </w:r>
            <w:r>
              <w:rPr>
                <w:rFonts w:hint="eastAsia" w:ascii="仿宋_GB2312" w:hAnsi="仿宋_GB2312" w:eastAsia="仿宋_GB2312" w:cs="仿宋_GB2312"/>
                <w:color w:val="000000"/>
                <w:kern w:val="0"/>
                <w:sz w:val="32"/>
                <w:szCs w:val="32"/>
                <w:highlight w:val="none"/>
              </w:rPr>
              <w:t xml:space="preserve">月 </w:t>
            </w:r>
            <w:r>
              <w:rPr>
                <w:rFonts w:hint="eastAsia" w:ascii="仿宋_GB2312" w:hAnsi="仿宋_GB2312" w:eastAsia="仿宋_GB2312" w:cs="仿宋_GB2312"/>
                <w:color w:val="000000"/>
                <w:kern w:val="0"/>
                <w:sz w:val="32"/>
                <w:szCs w:val="32"/>
                <w:highlight w:val="none"/>
                <w:u w:val="single"/>
                <w:lang w:val="en-US" w:eastAsia="zh-CN"/>
              </w:rPr>
              <w:t>01</w:t>
            </w:r>
            <w:r>
              <w:rPr>
                <w:rFonts w:hint="eastAsia" w:ascii="仿宋_GB2312" w:hAnsi="仿宋_GB2312" w:eastAsia="仿宋_GB2312" w:cs="仿宋_GB2312"/>
                <w:color w:val="000000"/>
                <w:kern w:val="0"/>
                <w:sz w:val="32"/>
                <w:szCs w:val="32"/>
                <w:highlight w:val="none"/>
              </w:rPr>
              <w:t xml:space="preserve">日 </w:t>
            </w:r>
            <w:r>
              <w:rPr>
                <w:rFonts w:hint="eastAsia" w:ascii="仿宋_GB2312" w:hAnsi="仿宋_GB2312" w:eastAsia="仿宋_GB2312" w:cs="仿宋_GB2312"/>
                <w:color w:val="000000"/>
                <w:kern w:val="0"/>
                <w:sz w:val="32"/>
                <w:szCs w:val="32"/>
                <w:highlight w:val="none"/>
                <w:lang w:val="en-US" w:eastAsia="zh-CN"/>
              </w:rPr>
              <w:t>14</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highlight w:val="none"/>
                <w:lang w:val="en-US" w:eastAsia="zh-CN"/>
              </w:rPr>
              <w:t>3</w:t>
            </w:r>
            <w:r>
              <w:rPr>
                <w:rFonts w:hint="eastAsia" w:ascii="仿宋_GB2312" w:hAnsi="仿宋_GB2312" w:eastAsia="仿宋_GB2312" w:cs="仿宋_GB2312"/>
                <w:color w:val="000000"/>
                <w:kern w:val="0"/>
                <w:sz w:val="32"/>
                <w:szCs w:val="32"/>
                <w:highlight w:val="none"/>
              </w:rPr>
              <w:t>0</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份胶装并密封加盖投标人公章。文件未胶装将视为无效。</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文件递交处：福建省肿瘤医院网络技术中心</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pPr>
        <w:widowControl/>
        <w:shd w:val="clear" w:color="auto" w:fill="FFFFFF"/>
        <w:spacing w:line="336" w:lineRule="auto"/>
        <w:rPr>
          <w:rFonts w:ascii="仿宋_GB2312" w:hAnsi="仿宋_GB2312" w:eastAsia="仿宋_GB2312" w:cs="仿宋_GB2312"/>
          <w:bCs/>
          <w:color w:val="000000"/>
          <w:kern w:val="0"/>
          <w:sz w:val="32"/>
          <w:szCs w:val="32"/>
          <w:shd w:val="clear" w:color="auto" w:fill="FFFFFF"/>
        </w:rPr>
      </w:pPr>
    </w:p>
    <w:p>
      <w:pPr>
        <w:widowControl/>
        <w:shd w:val="clear" w:color="auto" w:fill="FFFFFF"/>
        <w:spacing w:line="336"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pPr>
        <w:widowControl/>
        <w:shd w:val="clear" w:color="auto" w:fill="FFFFFF"/>
        <w:spacing w:line="336" w:lineRule="auto"/>
        <w:ind w:left="1260" w:firstLine="420"/>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pPr>
        <w:widowControl/>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 350014　 </w:t>
      </w:r>
    </w:p>
    <w:p>
      <w:pPr>
        <w:widowControl/>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 0591-83660063-8822</w:t>
      </w:r>
    </w:p>
    <w:p>
      <w:pPr>
        <w:widowControl/>
        <w:shd w:val="clear" w:color="auto" w:fill="FFFFFF"/>
        <w:spacing w:line="440" w:lineRule="atLeast"/>
      </w:pPr>
      <w:r>
        <w:rPr>
          <w:rFonts w:hint="eastAsia" w:ascii="仿宋_GB2312" w:hAnsi="仿宋_GB2312" w:eastAsia="仿宋_GB2312" w:cs="仿宋_GB2312"/>
          <w:bCs/>
          <w:color w:val="000000"/>
          <w:kern w:val="0"/>
          <w:sz w:val="32"/>
          <w:szCs w:val="32"/>
          <w:shd w:val="clear" w:color="auto" w:fill="FFFFFF"/>
        </w:rPr>
        <w:t xml:space="preserve">联系人： </w:t>
      </w:r>
      <w:r>
        <w:rPr>
          <w:rFonts w:hint="eastAsia" w:ascii="仿宋_GB2312" w:hAnsi="仿宋_GB2312" w:eastAsia="仿宋_GB2312" w:cs="仿宋_GB2312"/>
          <w:bCs/>
          <w:color w:val="000000"/>
          <w:kern w:val="0"/>
          <w:sz w:val="32"/>
          <w:szCs w:val="32"/>
          <w:shd w:val="clear" w:color="auto" w:fill="FFFFFF"/>
          <w:lang w:val="en-US" w:eastAsia="zh-CN"/>
        </w:rPr>
        <w:t>郑</w:t>
      </w:r>
      <w:r>
        <w:rPr>
          <w:rFonts w:hint="eastAsia" w:ascii="仿宋_GB2312" w:hAnsi="仿宋_GB2312" w:eastAsia="仿宋_GB2312" w:cs="仿宋_GB2312"/>
          <w:bCs/>
          <w:color w:val="000000"/>
          <w:kern w:val="0"/>
          <w:sz w:val="32"/>
          <w:szCs w:val="32"/>
          <w:shd w:val="clear" w:color="auto" w:fill="FFFFFF"/>
        </w:rPr>
        <w:t>工</w:t>
      </w:r>
      <w:r>
        <w:rPr>
          <w:rFonts w:hint="eastAsia"/>
        </w:rPr>
        <w:br w:type="page"/>
      </w:r>
    </w:p>
    <w:p>
      <w:pPr>
        <w:widowControl/>
        <w:shd w:val="clear" w:color="auto" w:fill="FFFFFF"/>
        <w:adjustRightInd w:val="0"/>
        <w:snapToGrid w:val="0"/>
        <w:ind w:firstLine="420"/>
        <w:jc w:val="center"/>
        <w:rPr>
          <w:rFonts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pPr>
        <w:widowControl/>
        <w:shd w:val="clear" w:color="auto" w:fill="FFFFFF"/>
        <w:spacing w:line="440" w:lineRule="atLeast"/>
        <w:rPr>
          <w:rFonts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一、采购内容</w:t>
      </w:r>
    </w:p>
    <w:tbl>
      <w:tblPr>
        <w:tblStyle w:val="11"/>
        <w:tblpPr w:leftFromText="180" w:rightFromText="180" w:vertAnchor="text" w:horzAnchor="page" w:tblpX="1562" w:tblpY="283"/>
        <w:tblOverlap w:val="never"/>
        <w:tblW w:w="9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9"/>
        <w:gridCol w:w="3828"/>
        <w:gridCol w:w="1701"/>
        <w:gridCol w:w="20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1809" w:type="dxa"/>
            <w:vAlign w:val="center"/>
          </w:tcPr>
          <w:p>
            <w:pPr>
              <w:widowControl/>
              <w:spacing w:after="158" w:afterLines="50"/>
              <w:jc w:val="center"/>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合同包</w:t>
            </w:r>
          </w:p>
        </w:tc>
        <w:tc>
          <w:tcPr>
            <w:tcW w:w="3828" w:type="dxa"/>
            <w:vAlign w:val="center"/>
          </w:tcPr>
          <w:p>
            <w:pPr>
              <w:widowControl/>
              <w:spacing w:after="158" w:afterLines="50"/>
              <w:jc w:val="center"/>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名 称</w:t>
            </w:r>
          </w:p>
        </w:tc>
        <w:tc>
          <w:tcPr>
            <w:tcW w:w="1701" w:type="dxa"/>
            <w:vAlign w:val="center"/>
          </w:tcPr>
          <w:p>
            <w:pPr>
              <w:widowControl/>
              <w:spacing w:after="158" w:afterLines="50"/>
              <w:jc w:val="center"/>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数量</w:t>
            </w:r>
          </w:p>
        </w:tc>
        <w:tc>
          <w:tcPr>
            <w:tcW w:w="2021" w:type="dxa"/>
            <w:vAlign w:val="center"/>
          </w:tcPr>
          <w:p>
            <w:pPr>
              <w:widowControl/>
              <w:spacing w:after="158" w:afterLines="50"/>
              <w:jc w:val="center"/>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预算（万元）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1809" w:type="dxa"/>
            <w:vAlign w:val="center"/>
          </w:tcPr>
          <w:p>
            <w:pPr>
              <w:widowControl/>
              <w:spacing w:after="158" w:afterLines="50"/>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3828" w:type="dxa"/>
            <w:vAlign w:val="center"/>
          </w:tcPr>
          <w:p>
            <w:pPr>
              <w:jc w:val="center"/>
              <w:rPr>
                <w:rFonts w:ascii="仿宋" w:hAnsi="仿宋" w:eastAsia="仿宋" w:cs="仿宋"/>
                <w:color w:val="000000"/>
                <w:kern w:val="0"/>
                <w:sz w:val="24"/>
              </w:rPr>
            </w:pPr>
            <w:r>
              <w:rPr>
                <w:rFonts w:hint="eastAsia" w:ascii="仿宋" w:hAnsi="仿宋" w:eastAsia="仿宋" w:cs="仿宋"/>
                <w:bCs/>
                <w:sz w:val="24"/>
              </w:rPr>
              <w:t>病理技术质控全流程管理系统项目</w:t>
            </w:r>
          </w:p>
        </w:tc>
        <w:tc>
          <w:tcPr>
            <w:tcW w:w="1701" w:type="dxa"/>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1项</w:t>
            </w:r>
          </w:p>
        </w:tc>
        <w:tc>
          <w:tcPr>
            <w:tcW w:w="2021" w:type="dxa"/>
            <w:vAlign w:val="center"/>
          </w:tcPr>
          <w:p>
            <w:pPr>
              <w:autoSpaceDN w:val="0"/>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rPr>
              <w:t>4</w:t>
            </w:r>
            <w:r>
              <w:rPr>
                <w:rFonts w:hint="eastAsia" w:ascii="仿宋" w:hAnsi="仿宋" w:eastAsia="仿宋" w:cs="仿宋"/>
                <w:color w:val="000000"/>
                <w:sz w:val="24"/>
                <w:lang w:val="en-US" w:eastAsia="zh-CN"/>
              </w:rPr>
              <w:t>5</w:t>
            </w:r>
            <w:bookmarkStart w:id="1" w:name="_GoBack"/>
            <w:bookmarkEnd w:id="1"/>
          </w:p>
        </w:tc>
      </w:tr>
    </w:tbl>
    <w:p>
      <w:pPr>
        <w:keepNext/>
        <w:widowControl/>
        <w:shd w:val="clear" w:color="auto" w:fill="FFFFFF"/>
        <w:autoSpaceDE w:val="0"/>
        <w:spacing w:before="120" w:after="120"/>
        <w:rPr>
          <w:rFonts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二、技术功能及服务要求</w:t>
      </w:r>
    </w:p>
    <w:p>
      <w:pPr>
        <w:pStyle w:val="15"/>
        <w:numPr>
          <w:ilvl w:val="0"/>
          <w:numId w:val="0"/>
        </w:numPr>
        <w:rPr>
          <w:rFonts w:hint="eastAsia" w:ascii="华文楷体" w:hAnsi="华文楷体" w:eastAsia="华文楷体" w:cs="华文楷体"/>
        </w:rPr>
      </w:pPr>
      <w:r>
        <w:rPr>
          <w:rFonts w:hint="eastAsia" w:ascii="华文楷体" w:hAnsi="华文楷体" w:eastAsia="华文楷体" w:cs="华文楷体"/>
        </w:rPr>
        <w:t>1、合同包（一）</w:t>
      </w:r>
    </w:p>
    <w:tbl>
      <w:tblPr>
        <w:tblStyle w:val="11"/>
        <w:tblW w:w="9420"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2126"/>
        <w:gridCol w:w="6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tcPr>
          <w:p>
            <w:pPr>
              <w:jc w:val="center"/>
              <w:rPr>
                <w:rFonts w:hint="eastAsia" w:ascii="仿宋" w:hAnsi="仿宋" w:eastAsia="仿宋" w:cs="仿宋"/>
                <w:sz w:val="28"/>
                <w:szCs w:val="28"/>
              </w:rPr>
            </w:pPr>
            <w:r>
              <w:rPr>
                <w:rFonts w:hint="eastAsia" w:ascii="仿宋" w:hAnsi="仿宋" w:eastAsia="仿宋" w:cs="仿宋"/>
                <w:sz w:val="28"/>
                <w:szCs w:val="28"/>
              </w:rPr>
              <w:t>序号</w:t>
            </w:r>
          </w:p>
        </w:tc>
        <w:tc>
          <w:tcPr>
            <w:tcW w:w="2126" w:type="dxa"/>
          </w:tcPr>
          <w:p>
            <w:pPr>
              <w:jc w:val="center"/>
              <w:rPr>
                <w:rFonts w:hint="eastAsia" w:ascii="仿宋" w:hAnsi="仿宋" w:eastAsia="仿宋" w:cs="仿宋"/>
                <w:sz w:val="28"/>
                <w:szCs w:val="28"/>
              </w:rPr>
            </w:pPr>
            <w:r>
              <w:rPr>
                <w:rFonts w:hint="eastAsia" w:ascii="仿宋" w:hAnsi="仿宋" w:eastAsia="仿宋" w:cs="仿宋"/>
                <w:sz w:val="28"/>
                <w:szCs w:val="28"/>
              </w:rPr>
              <w:t>项目</w:t>
            </w:r>
          </w:p>
        </w:tc>
        <w:tc>
          <w:tcPr>
            <w:tcW w:w="6261" w:type="dxa"/>
          </w:tcPr>
          <w:p>
            <w:pPr>
              <w:jc w:val="center"/>
              <w:rPr>
                <w:rFonts w:hint="eastAsia" w:ascii="仿宋" w:hAnsi="仿宋" w:eastAsia="仿宋" w:cs="仿宋"/>
                <w:sz w:val="28"/>
                <w:szCs w:val="28"/>
              </w:rPr>
            </w:pPr>
            <w:r>
              <w:rPr>
                <w:rFonts w:hint="eastAsia" w:ascii="仿宋" w:hAnsi="仿宋" w:eastAsia="仿宋" w:cs="仿宋"/>
                <w:sz w:val="28"/>
                <w:szCs w:val="28"/>
              </w:rPr>
              <w:t>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restart"/>
            <w:vAlign w:val="center"/>
          </w:tcPr>
          <w:p>
            <w:pPr>
              <w:jc w:val="center"/>
              <w:rPr>
                <w:rFonts w:hint="eastAsia" w:ascii="仿宋" w:hAnsi="仿宋" w:eastAsia="仿宋" w:cs="仿宋"/>
                <w:sz w:val="28"/>
                <w:szCs w:val="28"/>
              </w:rPr>
            </w:pPr>
            <w:r>
              <w:rPr>
                <w:rFonts w:hint="eastAsia" w:ascii="仿宋" w:hAnsi="仿宋" w:eastAsia="仿宋" w:cs="仿宋"/>
                <w:sz w:val="28"/>
                <w:szCs w:val="28"/>
              </w:rPr>
              <w:t>病理技术质控全流程管理系统</w:t>
            </w: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支持先进的B/S架构一体化设计，可兼容windows操作系统或国产操作系统运行，提升系统的适用性和灵活性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continue"/>
          </w:tcPr>
          <w:p>
            <w:pPr>
              <w:jc w:val="center"/>
              <w:rPr>
                <w:rFonts w:hint="eastAsia" w:ascii="仿宋" w:hAnsi="仿宋" w:eastAsia="仿宋" w:cs="仿宋"/>
                <w:sz w:val="28"/>
                <w:szCs w:val="28"/>
              </w:rPr>
            </w:pP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可适配主流的SQL Server、Oracle数据库，同时可适配达梦、南大通用等国产数据库，确保数据库选择的多样性与数据迁移的平滑性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continue"/>
          </w:tcPr>
          <w:p>
            <w:pPr>
              <w:jc w:val="center"/>
              <w:rPr>
                <w:rFonts w:hint="eastAsia" w:ascii="仿宋" w:hAnsi="仿宋" w:eastAsia="仿宋" w:cs="仿宋"/>
                <w:sz w:val="28"/>
                <w:szCs w:val="28"/>
              </w:rPr>
            </w:pP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系统建设需遵循技术先进、安全稳定、高度可扩展原则，采用微服务架构或模块化设计，便于功能扩展与升级，适应医院规模的快速扩展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continue"/>
          </w:tcPr>
          <w:p>
            <w:pPr>
              <w:jc w:val="center"/>
              <w:rPr>
                <w:rFonts w:hint="eastAsia" w:ascii="仿宋" w:hAnsi="仿宋" w:eastAsia="仿宋" w:cs="仿宋"/>
                <w:sz w:val="28"/>
                <w:szCs w:val="28"/>
              </w:rPr>
            </w:pP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需具备丰富的全院信息化互联经验，系统接口定制严格遵循国际及行业标准（如HL7等），同时支持WebService、MQ+XML等主流对接方式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continue"/>
          </w:tcPr>
          <w:p>
            <w:pPr>
              <w:jc w:val="center"/>
              <w:rPr>
                <w:rFonts w:hint="eastAsia" w:ascii="仿宋" w:hAnsi="仿宋" w:eastAsia="仿宋" w:cs="仿宋"/>
                <w:sz w:val="28"/>
                <w:szCs w:val="28"/>
              </w:rPr>
            </w:pP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可提供嵌套式权限配置体系，满足不同岗位用户的个性化需求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continue"/>
          </w:tcPr>
          <w:p>
            <w:pPr>
              <w:jc w:val="center"/>
              <w:rPr>
                <w:rFonts w:hint="eastAsia" w:ascii="仿宋" w:hAnsi="仿宋" w:eastAsia="仿宋" w:cs="仿宋"/>
                <w:sz w:val="28"/>
                <w:szCs w:val="28"/>
              </w:rPr>
            </w:pP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在取材环节可实现取材医生在取材结束后扫描当前病例所有包埋盒，验证包埋盒是否与当前取材病例的取材明细一致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continue"/>
          </w:tcPr>
          <w:p>
            <w:pPr>
              <w:jc w:val="center"/>
              <w:rPr>
                <w:rFonts w:hint="eastAsia" w:ascii="仿宋" w:hAnsi="仿宋" w:eastAsia="仿宋" w:cs="仿宋"/>
                <w:sz w:val="28"/>
                <w:szCs w:val="28"/>
              </w:rPr>
            </w:pP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可实现在每个冰冻切片工位配备独立运行程序，可通过扫描工牌或输入用户名密码进行登录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continue"/>
          </w:tcPr>
          <w:p>
            <w:pPr>
              <w:jc w:val="center"/>
              <w:rPr>
                <w:rFonts w:hint="eastAsia" w:ascii="仿宋" w:hAnsi="仿宋" w:eastAsia="仿宋" w:cs="仿宋"/>
                <w:sz w:val="28"/>
                <w:szCs w:val="28"/>
              </w:rPr>
            </w:pP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可进行取材质量评价，如“翻盖”、“丢失”、“无组织”等情况，并可进行相应取材质量的查询统计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continue"/>
          </w:tcPr>
          <w:p>
            <w:pPr>
              <w:jc w:val="center"/>
              <w:rPr>
                <w:rFonts w:hint="eastAsia" w:ascii="仿宋" w:hAnsi="仿宋" w:eastAsia="仿宋" w:cs="仿宋"/>
                <w:sz w:val="28"/>
                <w:szCs w:val="28"/>
              </w:rPr>
            </w:pP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在每个包埋工位配备独立运行程序，可通过扫描工牌或输入用户名密码进行登录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continue"/>
          </w:tcPr>
          <w:p>
            <w:pPr>
              <w:jc w:val="center"/>
              <w:rPr>
                <w:rFonts w:hint="eastAsia" w:ascii="仿宋" w:hAnsi="仿宋" w:eastAsia="仿宋" w:cs="仿宋"/>
                <w:sz w:val="28"/>
                <w:szCs w:val="28"/>
              </w:rPr>
            </w:pP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在扫描有特别说明的包埋盒二维码时，可自动进行语音播报。语音播报的项目内容可由用户进行自定义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continue"/>
          </w:tcPr>
          <w:p>
            <w:pPr>
              <w:jc w:val="center"/>
              <w:rPr>
                <w:rFonts w:hint="eastAsia" w:ascii="仿宋" w:hAnsi="仿宋" w:eastAsia="仿宋" w:cs="仿宋"/>
                <w:sz w:val="28"/>
                <w:szCs w:val="28"/>
              </w:rPr>
            </w:pP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可对已进行过质量评价的每一个蜡块可以记录处理结果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continue"/>
          </w:tcPr>
          <w:p>
            <w:pPr>
              <w:jc w:val="center"/>
              <w:rPr>
                <w:rFonts w:hint="eastAsia" w:ascii="仿宋" w:hAnsi="仿宋" w:eastAsia="仿宋" w:cs="仿宋"/>
                <w:sz w:val="28"/>
                <w:szCs w:val="28"/>
              </w:rPr>
            </w:pP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在每个切片工位配备独立运行程序，可通过扫描工牌或输入用户名密码进行登录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continue"/>
          </w:tcPr>
          <w:p>
            <w:pPr>
              <w:jc w:val="center"/>
              <w:rPr>
                <w:rFonts w:hint="eastAsia" w:ascii="仿宋" w:hAnsi="仿宋" w:eastAsia="仿宋" w:cs="仿宋"/>
                <w:sz w:val="28"/>
                <w:szCs w:val="28"/>
              </w:rPr>
            </w:pP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以列表或卡片形式自动提示当前病理号的其他蜡块的切片情况，可进行切片删除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continue"/>
          </w:tcPr>
          <w:p>
            <w:pPr>
              <w:jc w:val="center"/>
              <w:rPr>
                <w:rFonts w:hint="eastAsia" w:ascii="仿宋" w:hAnsi="仿宋" w:eastAsia="仿宋" w:cs="仿宋"/>
                <w:sz w:val="28"/>
                <w:szCs w:val="28"/>
              </w:rPr>
            </w:pP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可在单个切片工位上实现扫描包埋盒上的二维码标签，直接从技术医嘱信息中提取病例信息、医嘱名称等内容并打印当前蜡块所有的技术医嘱玻片二维码标签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continue"/>
          </w:tcPr>
          <w:p>
            <w:pPr>
              <w:jc w:val="center"/>
              <w:rPr>
                <w:rFonts w:hint="eastAsia" w:ascii="仿宋" w:hAnsi="仿宋" w:eastAsia="仿宋" w:cs="仿宋"/>
                <w:sz w:val="28"/>
                <w:szCs w:val="28"/>
              </w:rPr>
            </w:pP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在每个免疫组化工位配备独立运行程序，可通过扫描工牌或输入用户名密码进行登录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continue"/>
          </w:tcPr>
          <w:p>
            <w:pPr>
              <w:jc w:val="center"/>
              <w:rPr>
                <w:rFonts w:hint="eastAsia" w:ascii="仿宋" w:hAnsi="仿宋" w:eastAsia="仿宋" w:cs="仿宋"/>
                <w:sz w:val="28"/>
                <w:szCs w:val="28"/>
              </w:rPr>
            </w:pP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可实现在单个免疫组化工位上扫描包埋盒上的二维码标签，直接从特检医嘱信息中提取病例信息、标记物名称等内容并打印当前蜡块所有的免疫组化医嘱玻片二维码标签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sz w:val="28"/>
                <w:szCs w:val="28"/>
              </w:rPr>
            </w:pPr>
          </w:p>
        </w:tc>
        <w:tc>
          <w:tcPr>
            <w:tcW w:w="2126" w:type="dxa"/>
            <w:vMerge w:val="continue"/>
          </w:tcPr>
          <w:p>
            <w:pPr>
              <w:jc w:val="center"/>
              <w:rPr>
                <w:rFonts w:hint="eastAsia" w:ascii="仿宋" w:hAnsi="仿宋" w:eastAsia="仿宋" w:cs="仿宋"/>
                <w:sz w:val="28"/>
                <w:szCs w:val="28"/>
              </w:rPr>
            </w:pPr>
          </w:p>
        </w:tc>
        <w:tc>
          <w:tcPr>
            <w:tcW w:w="6261" w:type="dxa"/>
          </w:tcPr>
          <w:p>
            <w:pPr>
              <w:jc w:val="left"/>
              <w:rPr>
                <w:rFonts w:hint="eastAsia" w:ascii="仿宋" w:hAnsi="仿宋" w:eastAsia="仿宋" w:cs="仿宋"/>
                <w:sz w:val="28"/>
                <w:szCs w:val="28"/>
              </w:rPr>
            </w:pPr>
            <w:r>
              <w:rPr>
                <w:rFonts w:hint="eastAsia" w:ascii="仿宋" w:hAnsi="仿宋" w:eastAsia="仿宋" w:cs="仿宋"/>
                <w:sz w:val="28"/>
                <w:szCs w:val="28"/>
              </w:rPr>
              <w:t>可自动提示当前登录用户所有被诊断医师免疫组化切片质量评价过的病例列表，可进行原因分析和处理结果的录入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pPr>
              <w:pStyle w:val="19"/>
              <w:numPr>
                <w:ilvl w:val="0"/>
                <w:numId w:val="2"/>
              </w:numPr>
              <w:ind w:firstLineChars="0"/>
              <w:jc w:val="center"/>
              <w:rPr>
                <w:rFonts w:hint="eastAsia" w:ascii="仿宋" w:hAnsi="仿宋" w:eastAsia="仿宋" w:cs="仿宋"/>
                <w:b w:val="0"/>
                <w:bCs w:val="0"/>
                <w:color w:val="000000" w:themeColor="text1"/>
                <w:sz w:val="28"/>
                <w:szCs w:val="28"/>
                <w14:textFill>
                  <w14:solidFill>
                    <w14:schemeClr w14:val="tx1"/>
                  </w14:solidFill>
                </w14:textFill>
              </w:rPr>
            </w:pPr>
          </w:p>
        </w:tc>
        <w:tc>
          <w:tcPr>
            <w:tcW w:w="2126" w:type="dxa"/>
            <w:vMerge w:val="continue"/>
          </w:tcPr>
          <w:p>
            <w:pPr>
              <w:jc w:val="center"/>
              <w:rPr>
                <w:rFonts w:hint="eastAsia" w:ascii="仿宋" w:hAnsi="仿宋" w:eastAsia="仿宋" w:cs="仿宋"/>
                <w:b w:val="0"/>
                <w:bCs w:val="0"/>
                <w:color w:val="000000" w:themeColor="text1"/>
                <w:sz w:val="28"/>
                <w:szCs w:val="28"/>
                <w14:textFill>
                  <w14:solidFill>
                    <w14:schemeClr w14:val="tx1"/>
                  </w14:solidFill>
                </w14:textFill>
              </w:rPr>
            </w:pPr>
          </w:p>
        </w:tc>
        <w:tc>
          <w:tcPr>
            <w:tcW w:w="6261" w:type="dxa"/>
          </w:tcPr>
          <w:p>
            <w:pPr>
              <w:jc w:val="left"/>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数据交互：需实现对接科室现有系统的所有业务数据</w:t>
            </w:r>
            <w:r>
              <w:rPr>
                <w:rFonts w:hint="eastAsia" w:ascii="仿宋" w:hAnsi="仿宋" w:eastAsia="仿宋" w:cs="仿宋"/>
                <w:b w:val="0"/>
                <w:bCs w:val="0"/>
                <w:color w:val="000000" w:themeColor="text1"/>
                <w:sz w:val="28"/>
                <w:szCs w:val="28"/>
                <w:lang w:eastAsia="zh-CN"/>
                <w14:textFill>
                  <w14:solidFill>
                    <w14:schemeClr w14:val="tx1"/>
                  </w14:solidFill>
                </w14:textFill>
              </w:rPr>
              <w:t>。</w:t>
            </w:r>
            <w:r>
              <w:rPr>
                <w:rFonts w:hint="eastAsia" w:ascii="仿宋" w:hAnsi="仿宋" w:eastAsia="仿宋" w:cs="仿宋"/>
                <w:b w:val="0"/>
                <w:bCs w:val="0"/>
                <w:color w:val="000000" w:themeColor="text1"/>
                <w:sz w:val="28"/>
                <w:szCs w:val="28"/>
                <w14:textFill>
                  <w14:solidFill>
                    <w14:schemeClr w14:val="tx1"/>
                  </w14:solidFill>
                </w14:textFill>
              </w:rPr>
              <w:t>同时与</w:t>
            </w:r>
            <w:r>
              <w:rPr>
                <w:rFonts w:hint="eastAsia" w:ascii="仿宋" w:hAnsi="仿宋" w:eastAsia="仿宋" w:cs="仿宋"/>
                <w:b w:val="0"/>
                <w:bCs w:val="0"/>
                <w:color w:val="000000" w:themeColor="text1"/>
                <w:sz w:val="28"/>
                <w:szCs w:val="28"/>
                <w:lang w:val="en-US" w:eastAsia="zh-CN"/>
                <w14:textFill>
                  <w14:solidFill>
                    <w14:schemeClr w14:val="tx1"/>
                  </w14:solidFill>
                </w14:textFill>
              </w:rPr>
              <w:t>相应的玻片打号机、包埋盒打号机、数字扫描仪、免疫组化仪等相关设备进行</w:t>
            </w:r>
            <w:r>
              <w:rPr>
                <w:rFonts w:hint="eastAsia" w:ascii="仿宋" w:hAnsi="仿宋" w:eastAsia="仿宋" w:cs="仿宋"/>
                <w:b w:val="0"/>
                <w:bCs w:val="0"/>
                <w:color w:val="000000" w:themeColor="text1"/>
                <w:sz w:val="28"/>
                <w:szCs w:val="28"/>
                <w14:textFill>
                  <w14:solidFill>
                    <w14:schemeClr w14:val="tx1"/>
                  </w14:solidFill>
                </w14:textFill>
              </w:rPr>
              <w:t>对接，保障科室业务正常运行</w:t>
            </w:r>
            <w:r>
              <w:rPr>
                <w:rFonts w:hint="eastAsia" w:ascii="仿宋" w:hAnsi="仿宋" w:eastAsia="仿宋" w:cs="仿宋"/>
                <w:b w:val="0"/>
                <w:bCs w:val="0"/>
                <w:color w:val="000000" w:themeColor="text1"/>
                <w:sz w:val="28"/>
                <w:szCs w:val="28"/>
                <w:lang w:eastAsia="zh-CN"/>
                <w14:textFill>
                  <w14:solidFill>
                    <w14:schemeClr w14:val="tx1"/>
                  </w14:solidFill>
                </w14:textFill>
              </w:rPr>
              <w:t>。</w:t>
            </w:r>
          </w:p>
        </w:tc>
      </w:tr>
    </w:tbl>
    <w:p>
      <w:pPr>
        <w:rPr>
          <w:rFonts w:ascii="仿宋_GB2312" w:hAnsi="仿宋_GB2312" w:eastAsia="仿宋_GB2312" w:cs="仿宋_GB2312"/>
          <w:b/>
          <w:bCs/>
          <w:sz w:val="32"/>
          <w:szCs w:val="32"/>
        </w:rPr>
      </w:pPr>
    </w:p>
    <w:p>
      <w:pPr>
        <w:numPr>
          <w:ilvl w:val="0"/>
          <w:numId w:val="3"/>
        </w:num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其他要求</w:t>
      </w:r>
    </w:p>
    <w:p>
      <w:pPr>
        <w:numPr>
          <w:ilvl w:val="0"/>
          <w:numId w:val="0"/>
        </w:numPr>
        <w:wordWrap/>
        <w:spacing w:before="0" w:after="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1、本项目系统须同时覆盖我院滨海院区，功能与技术要求与本部院区一致。应结合我院实际医疗及管理需要，对系统进行客户化修改，包括但不限于结合医院实际管理需求。</w:t>
      </w:r>
    </w:p>
    <w:p>
      <w:pPr>
        <w:pStyle w:val="18"/>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由于本项目系统需符合国产化要求，不得使用主管部门禁止使用的操作系统及数据库，必须配备正版的国产化操作系统、数据库、中间件及前端国产化工作站。同时本项目验收前按政策或是按院方需要提供有资质的第三方公司开展的密码应用安全性测评、信息技术应用创新符合性测试，并提供相关的证明。暂时未能实现的，后续政策要求时不再另行收费，并在投标文件中出具承诺函。</w:t>
      </w:r>
    </w:p>
    <w:p>
      <w:pPr>
        <w:pStyle w:val="18"/>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3、本项目系统需符合《信息安全技术网络安全等级保护基本要求》GB/T22239-2019（三级）要求（简称：三级等保2.0）及密码应用安全性评估，并在以上评审中协助完成本系统评审工作。</w:t>
      </w:r>
    </w:p>
    <w:p>
      <w:pPr>
        <w:pStyle w:val="18"/>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三年内免费实施政策性国家、省市各平台的数据接口、数据上传等服务及免费实施国密改造、国产化改造，包括但不限于：福建省卫健委居民健康综合服务平台、福建省三医一网数据上报平台、福建省检查检验结果互联互通互认平台、福建省卫健委多码融合项目等，产生相应指标，推送至医疗平台接口中（涉及其他系统，应与其他系统配合实施）。</w:t>
      </w:r>
    </w:p>
    <w:p>
      <w:pPr>
        <w:pStyle w:val="18"/>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5、本项目系统应提供与医院HIS，电子病历、危急值平台、报告平台、麻醉耗材、患者360（含HIS360、CDR360）等系统无缝集成接口，符合电子病历6级、医院的互联互通5级、智慧医院4级的建设要求。</w:t>
      </w:r>
    </w:p>
    <w:p>
      <w:pPr>
        <w:pStyle w:val="18"/>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6、本项目为交钥匙工程，本项目系统与各业务系统及设备的数据接口由中标人自行负责。本项目涉及院内现有各业务系统接口的，采购人不再向中标人支付接口费用。</w:t>
      </w:r>
    </w:p>
    <w:p>
      <w:pPr>
        <w:pStyle w:val="18"/>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具备与集成平台通过统一的数据接口，实现浏览各检查报告具备通过系统集成平台按照国家、院内、院级数据集标准进行数据交换。具备多模式下数据交换接口的切换管理，诸如：集成平台出现故障时，可切换成应用系统服务接口模式或数据表模式，集成平台恢复时，可重新切换成集成平台。</w:t>
      </w:r>
    </w:p>
    <w:p>
      <w:pPr>
        <w:pStyle w:val="18"/>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8、根据国家《医院信息系统功能规范》第十二条以及国家信息化建设审计要求，必须提供完整的总体设计报告、需求分析说明书、上线测试报告、操作使用手册、系统维护手册等。</w:t>
      </w:r>
    </w:p>
    <w:p>
      <w:pPr>
        <w:pStyle w:val="18"/>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数据具备各数据表基础数据项的完整性，诸如：数据的创建人、创建时间、最后修改人、最后修改时间等；具备应用系统数据修改痕迹管理，各项核心业务的数据修改必须以日志形式保存，数据修改日志至少必须有“数据基础信息”、“修改前数据”、“修改后数据”、“修改人”、“修改时间”五个部分核心数据项组成；具备应用系统可以手动设置本地日志的保存目录，并自动必须定期清除。</w:t>
      </w:r>
    </w:p>
    <w:p>
      <w:pPr>
        <w:pStyle w:val="18"/>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本项目系统所有的工作流程节点（诸如：工作环节名称、患者ID、操作人、操作时间等）必须发送至全院工作流程管理平台进行接收、存储；本项目所涉及的影像文件（照片、图像等），则必须与全院统一影像数据中台实现交互，全部由全院统一影像数据中台进行管理（接收、存储、调阅等），原则上本项目服务器及应用系统不保存所涉及的影像文件（照片、图像等）；各具体接口技术方案待实施时由采购人提供。</w:t>
      </w:r>
    </w:p>
    <w:p>
      <w:pPr>
        <w:pStyle w:val="18"/>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11、与医院现有CA数字签名功能实现对接，满足医院各法规需要。</w:t>
      </w:r>
    </w:p>
    <w:p>
      <w:pPr>
        <w:pStyle w:val="18"/>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12、本项目系统若需接入医院APP(实现院外移动端查询)，则中标人应提供H5接口，并支付相应接口费用（不超过3万元），是否需接入医院APP以项目验收时采购人需求为准。</w:t>
      </w:r>
    </w:p>
    <w:p>
      <w:pPr>
        <w:pStyle w:val="18"/>
        <w:numPr>
          <w:ilvl w:val="0"/>
          <w:numId w:val="0"/>
        </w:numPr>
        <w:wordWrap/>
        <w:spacing w:before="0" w:beforeAutospacing="0" w:after="0" w:afterAutospacing="0" w:line="360" w:lineRule="auto"/>
        <w:ind w:right="0" w:rightChars="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w:t>
      </w:r>
      <w:bookmarkStart w:id="0" w:name="OLE_LINK1"/>
      <w:r>
        <w:rPr>
          <w:rFonts w:hint="eastAsia" w:ascii="仿宋_GB2312" w:hAnsi="仿宋_GB2312" w:eastAsia="仿宋_GB2312" w:cs="仿宋_GB2312"/>
          <w:color w:val="auto"/>
          <w:sz w:val="32"/>
          <w:szCs w:val="32"/>
          <w:lang w:val="en-US" w:eastAsia="zh-CN"/>
        </w:rPr>
        <w:t>在本项目系统软件使用及维保有效期内，本项目软件在每个使用科室使用的终端数量不受限制，数据不得加密，不得使用加密狗、打印加密、功能加密等任何软件使用约束。同时，乙方须如实向甲方提供数据库管理员的用户名、密码以及相关用户权限信息，不得隐瞒。不得通过任何技术手段限制系统内容，数据表结构不得加密，且必须如实提供给甲方。</w:t>
      </w:r>
      <w:bookmarkEnd w:id="0"/>
    </w:p>
    <w:p>
      <w:pPr>
        <w:pStyle w:val="18"/>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14、本项目软件部分按总价进行报价，不能以安装工作站数量进行报价。</w:t>
      </w:r>
    </w:p>
    <w:p>
      <w:pPr>
        <w:pStyle w:val="18"/>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15、本项目需完成旧系统中的历史数据导入，旧系统中非自动产生的数据（如手工输入值等），在新系统中可不体现或以默认值体现。若有涉及接口费用，由中标方负责，采购人不再向中标人支付接口费用。</w:t>
      </w:r>
    </w:p>
    <w:p>
      <w:pPr>
        <w:pStyle w:val="18"/>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16、本项目软件版面色彩、风格等应按医院要求设计制作；软件标题只能出现医院logo及系统名称，不能出现公司名称，公司名称允许在帮助（help）的关于（about）中出现。具体版面另行通知。</w:t>
      </w:r>
    </w:p>
    <w:p>
      <w:pPr>
        <w:pStyle w:val="15"/>
        <w:numPr>
          <w:ilvl w:val="0"/>
          <w:numId w:val="0"/>
        </w:numPr>
        <w:ind w:leftChars="0"/>
      </w:pPr>
      <w:r>
        <w:rPr>
          <w:rFonts w:hint="eastAsia" w:ascii="仿宋_GB2312" w:hAnsi="仿宋_GB2312" w:eastAsia="仿宋_GB2312" w:cs="仿宋_GB2312"/>
          <w:color w:val="auto"/>
          <w:sz w:val="32"/>
          <w:szCs w:val="32"/>
          <w:lang w:val="en-US" w:eastAsia="zh-CN"/>
        </w:rPr>
        <w:t>17、本项目系统安装调试并经验收合格后，应对采购方的相关人员提供关于系统应用时技术和操作方面的培训。相关培训费用应包含在投标总价中</w:t>
      </w:r>
      <w:r>
        <w:rPr>
          <w:rFonts w:hint="eastAsia"/>
        </w:rPr>
        <w:t>。</w:t>
      </w:r>
    </w:p>
    <w:p>
      <w:pPr>
        <w:pStyle w:val="15"/>
        <w:numPr>
          <w:ilvl w:val="0"/>
          <w:numId w:val="0"/>
        </w:numPr>
      </w:pPr>
    </w:p>
    <w:p>
      <w:pPr>
        <w:numPr>
          <w:ilvl w:val="0"/>
          <w:numId w:val="3"/>
        </w:num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调研说明</w:t>
      </w:r>
    </w:p>
    <w:p>
      <w:pPr>
        <w:shd w:val="solid" w:color="FFFFFF" w:fill="auto"/>
        <w:autoSpaceDN w:val="0"/>
        <w:spacing w:line="56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报名参加本次调研的供应商、厂家需提供如下相关资料。</w:t>
      </w:r>
    </w:p>
    <w:p>
      <w:pPr>
        <w:widowControl/>
        <w:spacing w:line="315"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1、报名请携带加盖公章的项目文件回执单、营业执照复印件、公司简介（</w:t>
      </w:r>
      <w:r>
        <w:rPr>
          <w:rFonts w:hint="eastAsia" w:ascii="仿宋_GB2312" w:hAnsi="仿宋_GB2312" w:eastAsia="仿宋_GB2312" w:cs="仿宋_GB2312"/>
          <w:bCs/>
          <w:sz w:val="32"/>
          <w:szCs w:val="32"/>
          <w:shd w:val="clear" w:color="auto" w:fill="FFFFFF"/>
        </w:rPr>
        <w:t>提供设备彩页、相关三证等）</w:t>
      </w:r>
      <w:r>
        <w:rPr>
          <w:rFonts w:hint="eastAsia" w:ascii="仿宋_GB2312" w:hAnsi="仿宋_GB2312" w:eastAsia="仿宋_GB2312" w:cs="仿宋_GB2312"/>
          <w:color w:val="000000"/>
          <w:kern w:val="0"/>
          <w:sz w:val="32"/>
          <w:szCs w:val="32"/>
        </w:rPr>
        <w:t>。</w:t>
      </w:r>
    </w:p>
    <w:p>
      <w:pPr>
        <w:widowControl/>
        <w:shd w:val="clear" w:color="auto" w:fill="FFFFFF"/>
        <w:spacing w:line="500" w:lineRule="atLeast"/>
        <w:ind w:firstLine="608" w:firstLineChars="200"/>
        <w:rPr>
          <w:rFonts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2、参与项目调研供应商代表的个人授权函（需加盖供应商公章）和身份证复印件。</w:t>
      </w:r>
    </w:p>
    <w:p>
      <w:pPr>
        <w:widowControl/>
        <w:shd w:val="clear" w:color="auto" w:fill="FFFFFF"/>
        <w:spacing w:line="500" w:lineRule="atLeast"/>
        <w:ind w:firstLine="608" w:firstLineChars="200"/>
        <w:rPr>
          <w:rFonts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3、分别提供“信用中国”网站（www.creditchina.gov.cn）、“中国政府采购网”网站（http://www.ccgp.gov.cn/search/cr/）信用记录查询截图，无不良记录并加盖公章（截图查询日期必须在该公告日期内）。</w:t>
      </w:r>
    </w:p>
    <w:p>
      <w:pPr>
        <w:pStyle w:val="15"/>
        <w:numPr>
          <w:ilvl w:val="0"/>
          <w:numId w:val="0"/>
        </w:numPr>
        <w:rPr>
          <w:shd w:val="clear" w:color="auto" w:fill="FFFFFF"/>
        </w:rPr>
      </w:pPr>
      <w:r>
        <w:rPr>
          <w:rFonts w:hint="eastAsia"/>
          <w:shd w:val="clear" w:color="auto" w:fill="FFFFFF"/>
        </w:rPr>
        <w:t>4、</w:t>
      </w:r>
      <w:r>
        <w:rPr>
          <w:rFonts w:hint="eastAsia"/>
          <w:color w:val="000000" w:themeColor="text1"/>
          <w:shd w:val="clear" w:color="auto" w:fill="FFFFFF"/>
          <w14:textFill>
            <w14:solidFill>
              <w14:schemeClr w14:val="tx1"/>
            </w14:solidFill>
          </w14:textFill>
        </w:rPr>
        <w:t>提供业绩清单及近3年省内同类项目中标书</w:t>
      </w:r>
    </w:p>
    <w:p>
      <w:pPr>
        <w:pStyle w:val="15"/>
        <w:numPr>
          <w:ilvl w:val="0"/>
          <w:numId w:val="0"/>
        </w:numPr>
        <w:rPr>
          <w:shd w:val="clear" w:color="auto" w:fill="FFFFFF"/>
        </w:rPr>
      </w:pPr>
      <w:r>
        <w:rPr>
          <w:rFonts w:hint="eastAsia"/>
          <w:shd w:val="clear" w:color="auto" w:fill="FFFFFF"/>
        </w:rPr>
        <w:t>5、本调研会的报价仅做为本项目公开招标的预算限价；不做参与投标的限制条件；</w:t>
      </w:r>
    </w:p>
    <w:p>
      <w:pPr>
        <w:pStyle w:val="15"/>
        <w:numPr>
          <w:ilvl w:val="0"/>
          <w:numId w:val="0"/>
        </w:numPr>
        <w:rPr>
          <w:shd w:val="clear" w:color="auto" w:fill="FFFFFF"/>
        </w:rPr>
      </w:pPr>
      <w:r>
        <w:rPr>
          <w:rFonts w:hint="eastAsia"/>
          <w:shd w:val="clear" w:color="auto" w:fill="FFFFFF"/>
        </w:rPr>
        <w:t>6、上述各参数将做为本项目招标的主要参数，不代表本项目公开招标的最终参数；</w:t>
      </w:r>
    </w:p>
    <w:p>
      <w:pPr>
        <w:pStyle w:val="15"/>
        <w:numPr>
          <w:ilvl w:val="0"/>
          <w:numId w:val="0"/>
        </w:numPr>
        <w:rPr>
          <w:rFonts w:hint="eastAsia"/>
          <w:shd w:val="clear" w:color="auto" w:fill="FFFFFF"/>
        </w:rPr>
      </w:pPr>
      <w:r>
        <w:rPr>
          <w:rFonts w:hint="eastAsia"/>
          <w:shd w:val="clear" w:color="auto" w:fill="FFFFFF"/>
        </w:rPr>
        <w:t>7、参加调研会的公司应准备PPT材料（含方案介绍、服务及集成能力、应用案例、报价等）、技术参数等材料，每公司讲解时间30分钟（含答疑10分钟）；同时上述材料须交予院方留档（发送邮件到wlb@fjzlhospital.com，并提供U盘留档）。</w:t>
      </w:r>
    </w:p>
    <w:p>
      <w:pPr>
        <w:pStyle w:val="15"/>
      </w:pPr>
      <w:r>
        <w:rPr>
          <w:rFonts w:hint="eastAsia"/>
        </w:rPr>
        <w:br w:type="page"/>
      </w:r>
    </w:p>
    <w:p>
      <w:pPr>
        <w:shd w:val="solid" w:color="FFFFFF" w:fill="auto"/>
        <w:autoSpaceDN w:val="0"/>
        <w:spacing w:line="420" w:lineRule="atLeast"/>
        <w:jc w:val="center"/>
        <w:rPr>
          <w:rFonts w:ascii="仿宋_GB2312" w:hAnsi="仿宋_GB2312" w:eastAsia="仿宋_GB2312" w:cs="仿宋_GB2312"/>
          <w:b/>
          <w:color w:val="000000"/>
          <w:sz w:val="32"/>
          <w:szCs w:val="32"/>
          <w:shd w:val="clear" w:color="auto" w:fill="FFFFFF"/>
        </w:rPr>
      </w:pPr>
    </w:p>
    <w:p>
      <w:pPr>
        <w:shd w:val="solid" w:color="FFFFFF" w:fill="auto"/>
        <w:autoSpaceDN w:val="0"/>
        <w:spacing w:line="420" w:lineRule="atLeast"/>
        <w:jc w:val="center"/>
        <w:rPr>
          <w:rFonts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pPr>
        <w:shd w:val="solid" w:color="FFFFFF" w:fill="auto"/>
        <w:autoSpaceDN w:val="0"/>
        <w:spacing w:line="420" w:lineRule="atLeas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11"/>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p>
        </w:tc>
      </w:tr>
    </w:tbl>
    <w:p>
      <w:pPr>
        <w:shd w:val="solid" w:color="FFFFFF" w:fill="auto"/>
        <w:autoSpaceDN w:val="0"/>
        <w:spacing w:line="420" w:lineRule="atLeast"/>
        <w:rPr>
          <w:rFonts w:ascii="仿宋_GB2312" w:hAnsi="仿宋_GB2312" w:eastAsia="仿宋_GB2312" w:cs="仿宋_GB2312"/>
          <w:bCs/>
          <w:sz w:val="32"/>
          <w:szCs w:val="32"/>
          <w:shd w:val="clear" w:color="auto" w:fill="FFFFFF"/>
        </w:rPr>
      </w:pPr>
    </w:p>
    <w:p>
      <w:pPr>
        <w:shd w:val="solid" w:color="FFFFFF" w:fill="auto"/>
        <w:autoSpaceDN w:val="0"/>
        <w:spacing w:line="500" w:lineRule="exact"/>
        <w:rPr>
          <w:rFonts w:ascii="仿宋_GB2312" w:hAnsi="仿宋_GB2312" w:eastAsia="仿宋_GB2312" w:cs="仿宋_GB2312"/>
          <w:bCs/>
          <w:sz w:val="32"/>
          <w:szCs w:val="32"/>
          <w:shd w:val="clear" w:color="auto" w:fill="FFFFFF"/>
        </w:rPr>
      </w:pPr>
    </w:p>
    <w:p>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联系人：</w:t>
      </w:r>
    </w:p>
    <w:p>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pPr>
        <w:shd w:val="solid" w:color="FFFFFF" w:fill="auto"/>
        <w:autoSpaceDN w:val="0"/>
        <w:spacing w:line="500" w:lineRule="exact"/>
        <w:rPr>
          <w:rFonts w:ascii="仿宋_GB2312" w:hAnsi="仿宋_GB2312" w:eastAsia="仿宋_GB2312" w:cs="仿宋_GB2312"/>
          <w:bCs/>
          <w:sz w:val="32"/>
          <w:szCs w:val="32"/>
          <w:shd w:val="clear" w:color="auto" w:fill="FFFFFF"/>
        </w:rPr>
      </w:pPr>
    </w:p>
    <w:p>
      <w:pPr>
        <w:pStyle w:val="15"/>
        <w:numPr>
          <w:ilvl w:val="0"/>
          <w:numId w:val="0"/>
        </w:numPr>
        <w:rPr>
          <w:rFonts w:hint="eastAsia"/>
          <w:shd w:val="clear" w:color="auto" w:fill="FFFFFF"/>
        </w:rPr>
      </w:pPr>
    </w:p>
    <w:p>
      <w:pPr>
        <w:pStyle w:val="15"/>
        <w:numPr>
          <w:ilvl w:val="0"/>
          <w:numId w:val="0"/>
        </w:numPr>
      </w:pPr>
      <w:r>
        <w:rPr>
          <w:rFonts w:hint="eastAsia"/>
        </w:rPr>
        <w:t xml:space="preserve">                                        福建省肿瘤医院</w:t>
      </w:r>
    </w:p>
    <w:p>
      <w:pPr>
        <w:pStyle w:val="15"/>
        <w:numPr>
          <w:ilvl w:val="0"/>
          <w:numId w:val="0"/>
        </w:numPr>
      </w:pPr>
      <w:r>
        <w:rPr>
          <w:rFonts w:hint="eastAsia"/>
        </w:rPr>
        <w:t xml:space="preserve">                                           年  月  日</w:t>
      </w:r>
    </w:p>
    <w:sectPr>
      <w:footerReference r:id="rId3" w:type="default"/>
      <w:pgSz w:w="12240" w:h="15840"/>
      <w:pgMar w:top="1134" w:right="1587" w:bottom="1134" w:left="1587" w:header="720" w:footer="720" w:gutter="0"/>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Quad Arrow 1025"/>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1">
                      <a:spAutoFit/>
                    </wps:bodyPr>
                  </wps:wsp>
                </a:graphicData>
              </a:graphic>
            </wp:anchor>
          </w:drawing>
        </mc:Choice>
        <mc:Fallback>
          <w:pict>
            <v:rect id="Quad Arrow 1025" o:spid="_x0000_s1026" o:spt="1" style="position:absolute;left:0pt;margin-top:0pt;height:12.8pt;width:5.35pt;mso-position-horizontal:center;mso-position-horizontal-relative:margin;mso-wrap-style:none;z-index:251659264;mso-width-relative:page;mso-height-relative:page;" filled="f" stroked="f" coordsize="21600,21600" o:gfxdata="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FpMj9EAAAADAQAADwAAAAAAAAABACAAAAAiAAAAZHJzL2Rvd25yZXYueG1sUEsBAhQAFAAA&#10;AAgAh07iQDzBcNu9AQAAkAMAAA4AAAAAAAAAAQAgAAAAIAEAAGRycy9lMm9Eb2MueG1sUEsFBgAA&#10;AAAGAAYAWQEAAE8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C45B35"/>
    <w:multiLevelType w:val="multilevel"/>
    <w:tmpl w:val="14C45B35"/>
    <w:lvl w:ilvl="0" w:tentative="0">
      <w:start w:val="1"/>
      <w:numFmt w:val="decimal"/>
      <w:pStyle w:val="15"/>
      <w:suff w:val="nothing"/>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4C536308"/>
    <w:multiLevelType w:val="multilevel"/>
    <w:tmpl w:val="4C536308"/>
    <w:lvl w:ilvl="0" w:tentative="0">
      <w:start w:val="1"/>
      <w:numFmt w:val="decimal"/>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53551602"/>
    <w:multiLevelType w:val="singleLevel"/>
    <w:tmpl w:val="53551602"/>
    <w:lvl w:ilvl="0" w:tentative="0">
      <w:start w:val="3"/>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0"/>
  <w:drawingGridVerticalSpacing w:val="156"/>
  <w:noPunctuationKerning w:val="1"/>
  <w:characterSpacingControl w:val="compressPunctuation"/>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lNzZiNjE1N2NiNDY1MjdjNTllOWUxMWU4Y2ZiZGQifQ=="/>
  </w:docVars>
  <w:rsids>
    <w:rsidRoot w:val="007F5E91"/>
    <w:rsid w:val="00056FD3"/>
    <w:rsid w:val="00064CF7"/>
    <w:rsid w:val="000668D0"/>
    <w:rsid w:val="0006752C"/>
    <w:rsid w:val="00145059"/>
    <w:rsid w:val="001450F5"/>
    <w:rsid w:val="00151F0B"/>
    <w:rsid w:val="001C529E"/>
    <w:rsid w:val="00222D5E"/>
    <w:rsid w:val="00276A66"/>
    <w:rsid w:val="002E34EF"/>
    <w:rsid w:val="00304242"/>
    <w:rsid w:val="003344FC"/>
    <w:rsid w:val="003471EE"/>
    <w:rsid w:val="0037008D"/>
    <w:rsid w:val="003C6828"/>
    <w:rsid w:val="0041496F"/>
    <w:rsid w:val="004215C8"/>
    <w:rsid w:val="00443A94"/>
    <w:rsid w:val="00453B7D"/>
    <w:rsid w:val="0046074A"/>
    <w:rsid w:val="00475968"/>
    <w:rsid w:val="00477292"/>
    <w:rsid w:val="00495B0B"/>
    <w:rsid w:val="00495C79"/>
    <w:rsid w:val="004D66FE"/>
    <w:rsid w:val="004F229F"/>
    <w:rsid w:val="00552C87"/>
    <w:rsid w:val="00591F5D"/>
    <w:rsid w:val="005B4571"/>
    <w:rsid w:val="00614AF3"/>
    <w:rsid w:val="006349EF"/>
    <w:rsid w:val="00644982"/>
    <w:rsid w:val="00682E22"/>
    <w:rsid w:val="00687F93"/>
    <w:rsid w:val="006B2FCE"/>
    <w:rsid w:val="006C5F5C"/>
    <w:rsid w:val="006E5489"/>
    <w:rsid w:val="007065CD"/>
    <w:rsid w:val="00732792"/>
    <w:rsid w:val="00750EF9"/>
    <w:rsid w:val="00755478"/>
    <w:rsid w:val="007C1C5B"/>
    <w:rsid w:val="007D1A45"/>
    <w:rsid w:val="007F5E91"/>
    <w:rsid w:val="008315EE"/>
    <w:rsid w:val="00831908"/>
    <w:rsid w:val="008A3C60"/>
    <w:rsid w:val="00926A96"/>
    <w:rsid w:val="00953081"/>
    <w:rsid w:val="009546D8"/>
    <w:rsid w:val="009B7643"/>
    <w:rsid w:val="009C50DA"/>
    <w:rsid w:val="00A856E3"/>
    <w:rsid w:val="00A92D36"/>
    <w:rsid w:val="00A93842"/>
    <w:rsid w:val="00AE1E79"/>
    <w:rsid w:val="00AF60EB"/>
    <w:rsid w:val="00B1766D"/>
    <w:rsid w:val="00B64394"/>
    <w:rsid w:val="00BF5172"/>
    <w:rsid w:val="00BF7BAC"/>
    <w:rsid w:val="00C647B9"/>
    <w:rsid w:val="00C853A3"/>
    <w:rsid w:val="00D84BFC"/>
    <w:rsid w:val="00DB0365"/>
    <w:rsid w:val="00DE7B40"/>
    <w:rsid w:val="00E71FBE"/>
    <w:rsid w:val="00EC5704"/>
    <w:rsid w:val="00ED5137"/>
    <w:rsid w:val="00EE3263"/>
    <w:rsid w:val="00FB3EE7"/>
    <w:rsid w:val="00FD162F"/>
    <w:rsid w:val="072B1ACF"/>
    <w:rsid w:val="167334FD"/>
    <w:rsid w:val="2580275F"/>
    <w:rsid w:val="2A1D36D9"/>
    <w:rsid w:val="379A19A6"/>
    <w:rsid w:val="53637E9A"/>
    <w:rsid w:val="5E6D4CD6"/>
    <w:rsid w:val="72BC0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4">
    <w:name w:val="heading 1"/>
    <w:basedOn w:val="1"/>
    <w:next w:val="1"/>
    <w:qFormat/>
    <w:uiPriority w:val="0"/>
    <w:pPr>
      <w:keepNext/>
      <w:keepLines/>
      <w:spacing w:line="576" w:lineRule="auto"/>
      <w:outlineLvl w:val="0"/>
    </w:pPr>
    <w:rPr>
      <w:b/>
      <w:kern w:val="44"/>
      <w:sz w:val="44"/>
    </w:rPr>
  </w:style>
  <w:style w:type="paragraph" w:styleId="5">
    <w:name w:val="heading 2"/>
    <w:basedOn w:val="1"/>
    <w:next w:val="1"/>
    <w:unhideWhenUsed/>
    <w:qFormat/>
    <w:uiPriority w:val="9"/>
    <w:pPr>
      <w:keepNext/>
      <w:keepLines/>
      <w:snapToGrid w:val="0"/>
      <w:spacing w:line="300" w:lineRule="auto"/>
      <w:ind w:firstLine="200" w:firstLineChars="200"/>
      <w:outlineLvl w:val="1"/>
    </w:pPr>
    <w:rPr>
      <w:rFonts w:ascii="Arial" w:hAnsi="Arial"/>
      <w:b/>
      <w:bCs/>
      <w:szCs w:val="32"/>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rPr>
      <w:rFonts w:ascii="仿宋_GB2312" w:eastAsia="仿宋_GB2312"/>
      <w:sz w:val="32"/>
    </w:rPr>
  </w:style>
  <w:style w:type="paragraph" w:customStyle="1" w:styleId="3">
    <w:name w:val="引用1"/>
    <w:basedOn w:val="1"/>
    <w:next w:val="1"/>
    <w:qFormat/>
    <w:uiPriority w:val="29"/>
    <w:pPr>
      <w:spacing w:beforeLines="50" w:afterLines="50" w:line="360" w:lineRule="auto"/>
    </w:pPr>
    <w:rPr>
      <w:i/>
      <w:iCs/>
      <w:color w:val="000000"/>
      <w:lang w:val="zh-CN"/>
    </w:rPr>
  </w:style>
  <w:style w:type="paragraph" w:styleId="6">
    <w:name w:val="annotation text"/>
    <w:basedOn w:val="1"/>
    <w:link w:val="20"/>
    <w:qFormat/>
    <w:uiPriority w:val="0"/>
    <w:pPr>
      <w:jc w:val="left"/>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link w:val="22"/>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line="336" w:lineRule="auto"/>
      <w:jc w:val="left"/>
    </w:pPr>
    <w:rPr>
      <w:rFonts w:ascii="宋体" w:hAnsi="宋体"/>
      <w:kern w:val="0"/>
      <w:sz w:val="24"/>
    </w:rPr>
  </w:style>
  <w:style w:type="paragraph" w:styleId="10">
    <w:name w:val="annotation subject"/>
    <w:basedOn w:val="6"/>
    <w:next w:val="6"/>
    <w:link w:val="21"/>
    <w:uiPriority w:val="0"/>
    <w:rPr>
      <w:b/>
      <w:bCs/>
    </w:rPr>
  </w:style>
  <w:style w:type="character" w:styleId="13">
    <w:name w:val="Strong"/>
    <w:qFormat/>
    <w:uiPriority w:val="0"/>
    <w:rPr>
      <w:b/>
    </w:rPr>
  </w:style>
  <w:style w:type="character" w:styleId="14">
    <w:name w:val="annotation reference"/>
    <w:basedOn w:val="12"/>
    <w:qFormat/>
    <w:uiPriority w:val="0"/>
    <w:rPr>
      <w:sz w:val="21"/>
      <w:szCs w:val="21"/>
    </w:rPr>
  </w:style>
  <w:style w:type="paragraph" w:customStyle="1" w:styleId="15">
    <w:name w:val="Fließtext"/>
    <w:basedOn w:val="1"/>
    <w:qFormat/>
    <w:uiPriority w:val="0"/>
    <w:pPr>
      <w:numPr>
        <w:ilvl w:val="0"/>
        <w:numId w:val="1"/>
      </w:numPr>
      <w:overflowPunct w:val="0"/>
      <w:autoSpaceDE w:val="0"/>
      <w:autoSpaceDN w:val="0"/>
      <w:adjustRightInd w:val="0"/>
      <w:textAlignment w:val="baseline"/>
    </w:pPr>
    <w:rPr>
      <w:rFonts w:ascii="仿宋_GB2312" w:hAnsi="仿宋_GB2312" w:eastAsia="仿宋_GB2312" w:cs="仿宋_GB2312"/>
      <w:kern w:val="0"/>
      <w:sz w:val="32"/>
      <w:szCs w:val="32"/>
    </w:rPr>
  </w:style>
  <w:style w:type="paragraph" w:customStyle="1" w:styleId="16">
    <w:name w:val="xl3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4"/>
    </w:rPr>
  </w:style>
  <w:style w:type="paragraph" w:customStyle="1" w:styleId="17">
    <w:name w:val="列表段落1"/>
    <w:basedOn w:val="1"/>
    <w:qFormat/>
    <w:uiPriority w:val="34"/>
    <w:pPr>
      <w:ind w:firstLine="420" w:firstLineChars="200"/>
    </w:pPr>
  </w:style>
  <w:style w:type="paragraph" w:customStyle="1" w:styleId="18">
    <w:name w:val="p0"/>
    <w:basedOn w:val="1"/>
    <w:qFormat/>
    <w:uiPriority w:val="0"/>
    <w:pPr>
      <w:widowControl/>
      <w:spacing w:before="100" w:beforeAutospacing="1" w:after="100" w:afterAutospacing="1"/>
      <w:jc w:val="left"/>
    </w:pPr>
    <w:rPr>
      <w:rFonts w:ascii="宋体" w:hAnsi="宋体" w:cs="宋体"/>
      <w:kern w:val="0"/>
      <w:sz w:val="24"/>
    </w:rPr>
  </w:style>
  <w:style w:type="paragraph" w:styleId="19">
    <w:name w:val="List Paragraph"/>
    <w:basedOn w:val="1"/>
    <w:qFormat/>
    <w:uiPriority w:val="34"/>
    <w:pPr>
      <w:widowControl/>
      <w:spacing w:line="360" w:lineRule="auto"/>
      <w:ind w:firstLine="420" w:firstLineChars="200"/>
      <w:jc w:val="left"/>
    </w:pPr>
    <w:rPr>
      <w:rFonts w:ascii="Times New Roman" w:hAnsi="Times New Roman" w:cstheme="minorBidi"/>
      <w:sz w:val="24"/>
    </w:rPr>
  </w:style>
  <w:style w:type="character" w:customStyle="1" w:styleId="20">
    <w:name w:val="批注文字 字符"/>
    <w:basedOn w:val="12"/>
    <w:link w:val="6"/>
    <w:qFormat/>
    <w:uiPriority w:val="0"/>
    <w:rPr>
      <w:rFonts w:ascii="Calibri" w:hAnsi="Calibri" w:cs="黑体"/>
      <w:kern w:val="2"/>
      <w:sz w:val="21"/>
      <w:szCs w:val="24"/>
    </w:rPr>
  </w:style>
  <w:style w:type="character" w:customStyle="1" w:styleId="21">
    <w:name w:val="批注主题 字符"/>
    <w:basedOn w:val="20"/>
    <w:link w:val="10"/>
    <w:qFormat/>
    <w:uiPriority w:val="0"/>
    <w:rPr>
      <w:rFonts w:ascii="Calibri" w:hAnsi="Calibri" w:cs="黑体"/>
      <w:b/>
      <w:bCs/>
      <w:kern w:val="2"/>
      <w:sz w:val="21"/>
      <w:szCs w:val="24"/>
    </w:rPr>
  </w:style>
  <w:style w:type="character" w:customStyle="1" w:styleId="22">
    <w:name w:val="页眉 字符"/>
    <w:basedOn w:val="12"/>
    <w:link w:val="8"/>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3429</Words>
  <Characters>3674</Characters>
  <Lines>73</Lines>
  <Paragraphs>92</Paragraphs>
  <TotalTime>0</TotalTime>
  <ScaleCrop>false</ScaleCrop>
  <LinksUpToDate>false</LinksUpToDate>
  <CharactersWithSpaces>3798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2023-05-30T06:42:00Z</dcterms:created>
  <dc:creator>Admin</dc:creator>
  <cp:lastModifiedBy>蓝风</cp:lastModifiedBy>
  <cp:lastPrinted>2023-06-20T07:45:00Z</cp:lastPrinted>
  <dcterms:modified xsi:type="dcterms:W3CDTF">2025-12-01T08:39:23Z</dcterms:modified>
  <dc:title>设备科：</dc:title>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782B80C22AFB4AFE800578DF784F8503_13</vt:lpwstr>
  </property>
  <property fmtid="{D5CDD505-2E9C-101B-9397-08002B2CF9AE}" pid="4" name="KSOTemplateDocerSaveRecord">
    <vt:lpwstr>eyJoZGlkIjoiYTA3NmYyZDlmYzExOWY0NzFhYmMzYmNmMDdhZTk4N2YiLCJ1c2VySWQiOiI0MjU1NjEwMzQifQ==</vt:lpwstr>
  </property>
</Properties>
</file>