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C5F0C">
      <w:pPr>
        <w:pStyle w:val="16"/>
        <w:jc w:val="center"/>
        <w:rPr>
          <w:rFonts w:hAnsi="宋体"/>
          <w:b/>
          <w:color w:val="auto"/>
          <w:sz w:val="32"/>
          <w:szCs w:val="36"/>
          <w:lang w:val="en-US"/>
        </w:rPr>
      </w:pPr>
      <w:r>
        <w:rPr>
          <w:rFonts w:hint="eastAsia" w:hAnsi="宋体"/>
          <w:b/>
          <w:color w:val="auto"/>
          <w:sz w:val="32"/>
          <w:szCs w:val="36"/>
          <w:lang w:val="en-US" w:eastAsia="zh-CN"/>
        </w:rPr>
        <w:t xml:space="preserve"> 福建省肿瘤医院礼堂椅</w:t>
      </w:r>
      <w:r>
        <w:rPr>
          <w:rFonts w:hint="eastAsia" w:hAnsi="宋体"/>
          <w:b/>
          <w:color w:val="auto"/>
          <w:sz w:val="32"/>
          <w:szCs w:val="36"/>
        </w:rPr>
        <w:t>采购项目招标</w:t>
      </w:r>
      <w:r>
        <w:rPr>
          <w:rFonts w:hint="eastAsia" w:hAnsi="宋体"/>
          <w:b/>
          <w:color w:val="auto"/>
          <w:sz w:val="32"/>
          <w:szCs w:val="36"/>
          <w:lang w:val="en-US" w:eastAsia="zh-CN"/>
        </w:rPr>
        <w:t>公告</w:t>
      </w:r>
    </w:p>
    <w:p w14:paraId="745473FA">
      <w:pPr>
        <w:spacing w:before="150" w:line="560" w:lineRule="exact"/>
        <w:rPr>
          <w:rFonts w:hint="eastAsia" w:ascii="宋体" w:hAnsi="宋体" w:cs="宋体"/>
          <w:color w:val="000000"/>
          <w:szCs w:val="21"/>
        </w:rPr>
      </w:pPr>
      <w:r>
        <w:rPr>
          <w:rFonts w:hint="eastAsia" w:ascii="宋体" w:hAnsi="宋体" w:cs="宋体"/>
          <w:szCs w:val="21"/>
        </w:rPr>
        <w:t xml:space="preserve">   一.</w:t>
      </w:r>
      <w:r>
        <w:rPr>
          <w:rFonts w:hint="eastAsia" w:ascii="宋体" w:hAnsi="宋体" w:cs="宋体"/>
          <w:b/>
          <w:bCs/>
          <w:color w:val="000000"/>
          <w:szCs w:val="21"/>
        </w:rPr>
        <w:t xml:space="preserve"> 招标项目概况和范围</w:t>
      </w:r>
    </w:p>
    <w:p w14:paraId="42732F8F">
      <w:pPr>
        <w:numPr>
          <w:ilvl w:val="0"/>
          <w:numId w:val="1"/>
        </w:numPr>
        <w:spacing w:line="560" w:lineRule="exact"/>
        <w:rPr>
          <w:rFonts w:hint="eastAsia" w:ascii="宋体" w:hAnsi="宋体" w:cs="宋体"/>
          <w:color w:val="000000"/>
          <w:szCs w:val="21"/>
        </w:rPr>
      </w:pPr>
      <w:r>
        <w:rPr>
          <w:rFonts w:hint="eastAsia" w:ascii="宋体" w:hAnsi="宋体" w:cs="宋体"/>
          <w:color w:val="000000"/>
          <w:szCs w:val="21"/>
        </w:rPr>
        <w:t>项目名称：</w:t>
      </w:r>
      <w:r>
        <w:rPr>
          <w:rFonts w:hint="eastAsia" w:ascii="宋体" w:hAnsi="宋体" w:cs="宋体"/>
          <w:color w:val="000000"/>
          <w:szCs w:val="21"/>
          <w:lang w:val="en-US" w:eastAsia="zh-CN"/>
        </w:rPr>
        <w:t xml:space="preserve"> 福建省肿瘤医院礼堂椅</w:t>
      </w:r>
      <w:r>
        <w:rPr>
          <w:rFonts w:hint="eastAsia" w:ascii="宋体" w:hAnsi="宋体" w:cs="宋体"/>
          <w:color w:val="000000"/>
          <w:szCs w:val="21"/>
        </w:rPr>
        <w:t>采购项目</w:t>
      </w:r>
    </w:p>
    <w:p w14:paraId="4735B607">
      <w:pPr>
        <w:numPr>
          <w:ilvl w:val="0"/>
          <w:numId w:val="1"/>
        </w:numPr>
        <w:spacing w:line="560" w:lineRule="exact"/>
        <w:rPr>
          <w:rFonts w:hint="eastAsia" w:ascii="宋体" w:hAnsi="宋体" w:cs="宋体"/>
          <w:color w:val="000000"/>
          <w:szCs w:val="21"/>
        </w:rPr>
      </w:pPr>
      <w:r>
        <w:rPr>
          <w:rFonts w:hint="eastAsia" w:ascii="宋体" w:hAnsi="宋体" w:cs="宋体"/>
          <w:color w:val="000000"/>
          <w:szCs w:val="21"/>
        </w:rPr>
        <w:t>交货地点：</w:t>
      </w:r>
      <w:r>
        <w:rPr>
          <w:rFonts w:hint="eastAsia" w:ascii="宋体" w:hAnsi="宋体" w:cs="宋体"/>
          <w:color w:val="000000"/>
          <w:szCs w:val="21"/>
          <w:lang w:val="en-US" w:eastAsia="zh-CN"/>
        </w:rPr>
        <w:t>福州市</w:t>
      </w:r>
      <w:r>
        <w:rPr>
          <w:rFonts w:hint="eastAsia" w:ascii="宋体" w:hAnsi="宋体" w:cs="宋体"/>
          <w:color w:val="000000"/>
          <w:szCs w:val="21"/>
        </w:rPr>
        <w:t>福马路420号</w:t>
      </w:r>
      <w:r>
        <w:rPr>
          <w:rFonts w:hint="eastAsia" w:ascii="宋体" w:hAnsi="宋体" w:cs="宋体"/>
          <w:color w:val="000000"/>
          <w:szCs w:val="21"/>
          <w:lang w:val="en-US" w:eastAsia="zh-CN"/>
        </w:rPr>
        <w:t>省</w:t>
      </w:r>
      <w:r>
        <w:rPr>
          <w:rFonts w:hint="eastAsia" w:ascii="宋体" w:hAnsi="宋体" w:cs="宋体"/>
          <w:color w:val="000000"/>
          <w:szCs w:val="21"/>
        </w:rPr>
        <w:t>肿瘤医院院内。</w:t>
      </w:r>
    </w:p>
    <w:p w14:paraId="39717305">
      <w:pPr>
        <w:numPr>
          <w:ilvl w:val="0"/>
          <w:numId w:val="1"/>
        </w:numPr>
        <w:spacing w:line="560" w:lineRule="exact"/>
        <w:rPr>
          <w:rFonts w:hint="eastAsia" w:ascii="宋体" w:hAnsi="宋体" w:cs="宋体"/>
          <w:color w:val="000000"/>
          <w:szCs w:val="21"/>
        </w:rPr>
      </w:pPr>
      <w:r>
        <w:rPr>
          <w:rFonts w:hint="eastAsia" w:ascii="宋体" w:hAnsi="宋体" w:cs="宋体"/>
          <w:color w:val="000000"/>
          <w:szCs w:val="21"/>
        </w:rPr>
        <w:t>招标内容及要求：见附件。</w:t>
      </w:r>
    </w:p>
    <w:p w14:paraId="3958634A">
      <w:pPr>
        <w:numPr>
          <w:ilvl w:val="0"/>
          <w:numId w:val="1"/>
        </w:numPr>
        <w:spacing w:line="560" w:lineRule="exact"/>
        <w:rPr>
          <w:rFonts w:hint="eastAsia" w:ascii="宋体" w:hAnsi="宋体" w:cs="宋体"/>
          <w:color w:val="000000"/>
          <w:szCs w:val="21"/>
        </w:rPr>
      </w:pPr>
      <w:r>
        <w:rPr>
          <w:rFonts w:hint="eastAsia" w:ascii="宋体" w:hAnsi="宋体" w:cs="宋体"/>
          <w:color w:val="000000"/>
          <w:szCs w:val="21"/>
          <w:lang w:val="en-US" w:eastAsia="zh-CN"/>
        </w:rPr>
        <w:t>控制</w:t>
      </w:r>
      <w:r>
        <w:rPr>
          <w:rFonts w:hint="eastAsia" w:ascii="宋体" w:hAnsi="宋体" w:cs="宋体"/>
          <w:color w:val="000000"/>
          <w:szCs w:val="21"/>
        </w:rPr>
        <w:t>价：</w:t>
      </w:r>
      <w:r>
        <w:rPr>
          <w:rFonts w:hint="eastAsia" w:ascii="宋体" w:hAnsi="宋体" w:cs="宋体"/>
          <w:color w:val="000000"/>
          <w:szCs w:val="21"/>
          <w:lang w:val="en-US" w:eastAsia="zh-CN"/>
        </w:rPr>
        <w:t>22.8</w:t>
      </w:r>
      <w:r>
        <w:rPr>
          <w:rFonts w:hint="eastAsia" w:ascii="宋体" w:hAnsi="宋体" w:cs="宋体"/>
          <w:color w:val="000000"/>
          <w:szCs w:val="21"/>
        </w:rPr>
        <w:t>万</w:t>
      </w:r>
      <w:r>
        <w:rPr>
          <w:rFonts w:hint="eastAsia" w:ascii="宋体" w:hAnsi="宋体" w:cs="宋体"/>
          <w:color w:val="000000"/>
          <w:szCs w:val="21"/>
          <w:lang w:val="en-US" w:eastAsia="zh-CN"/>
        </w:rPr>
        <w:t>元</w:t>
      </w:r>
    </w:p>
    <w:p w14:paraId="5D5ADF42">
      <w:pPr>
        <w:spacing w:before="150" w:line="560" w:lineRule="exact"/>
        <w:rPr>
          <w:rFonts w:hint="eastAsia" w:ascii="宋体" w:hAnsi="宋体" w:cs="宋体"/>
          <w:color w:val="000000"/>
          <w:szCs w:val="21"/>
        </w:rPr>
      </w:pPr>
      <w:r>
        <w:rPr>
          <w:rFonts w:hint="eastAsia" w:ascii="宋体" w:hAnsi="宋体" w:cs="宋体"/>
          <w:b/>
          <w:bCs/>
          <w:color w:val="000000"/>
          <w:szCs w:val="21"/>
        </w:rPr>
        <w:t>二、投标人资格要求及审查办法</w:t>
      </w:r>
      <w:bookmarkStart w:id="0" w:name="_GoBack"/>
      <w:bookmarkEnd w:id="0"/>
    </w:p>
    <w:p w14:paraId="3368921C">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满足《中华人民共和国政府采购法》第二十二条规定。</w:t>
      </w:r>
    </w:p>
    <w:p w14:paraId="4BCB85D5">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营业执照。</w:t>
      </w:r>
    </w:p>
    <w:p w14:paraId="4CC0E5C4">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委托代表人资格证明书（附法人及委托人身份证）。</w:t>
      </w:r>
    </w:p>
    <w:p w14:paraId="18F7BB0E">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财务状况报告（最近一个年度经审计的财务报告或资信证明或投标担保函）；</w:t>
      </w:r>
    </w:p>
    <w:p w14:paraId="1898F19D">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参加本次活动前三年内，在经营活动中没有重大违法违规记录的承诺。</w:t>
      </w:r>
    </w:p>
    <w:p w14:paraId="6B1D4AC6">
      <w:pPr>
        <w:numPr>
          <w:ilvl w:val="0"/>
          <w:numId w:val="2"/>
        </w:numPr>
        <w:adjustRightInd/>
        <w:snapToGrid/>
        <w:spacing w:before="150" w:after="0" w:line="480" w:lineRule="atLeast"/>
        <w:jc w:val="both"/>
        <w:rPr>
          <w:rFonts w:hint="eastAsia" w:ascii="宋体" w:hAnsi="宋体" w:eastAsia="宋体"/>
          <w:sz w:val="21"/>
          <w:szCs w:val="21"/>
        </w:rPr>
      </w:pPr>
      <w:r>
        <w:rPr>
          <w:rFonts w:hint="eastAsia" w:ascii="宋体" w:hAnsi="宋体" w:eastAsia="宋体" w:cs="宋体"/>
          <w:color w:val="404040"/>
          <w:sz w:val="21"/>
          <w:szCs w:val="21"/>
        </w:rPr>
        <w:t>具备履行合同所必需设备和专业技术能力的声明函；</w:t>
      </w:r>
    </w:p>
    <w:p w14:paraId="14D78E27">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资格审查采用方式：资格后审。</w:t>
      </w:r>
    </w:p>
    <w:p w14:paraId="56DDFEED">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本招标项目不接受联合体投标，不接受备选投标方案，不允许分包。</w:t>
      </w:r>
    </w:p>
    <w:p w14:paraId="185159BE">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投标人应通过“信用中国（</w:t>
      </w:r>
      <w:r>
        <w:rPr>
          <w:sz w:val="21"/>
          <w:szCs w:val="21"/>
        </w:rPr>
        <w:fldChar w:fldCharType="begin"/>
      </w:r>
      <w:r>
        <w:rPr>
          <w:sz w:val="21"/>
          <w:szCs w:val="21"/>
        </w:rPr>
        <w:instrText xml:space="preserve">HYPERLINK "http://www.creditchina.gov.cn/" </w:instrText>
      </w:r>
      <w:r>
        <w:rPr>
          <w:sz w:val="21"/>
          <w:szCs w:val="21"/>
        </w:rPr>
        <w:fldChar w:fldCharType="separate"/>
      </w:r>
      <w:r>
        <w:rPr>
          <w:rStyle w:val="14"/>
          <w:rFonts w:hint="eastAsia" w:ascii="宋体" w:hAnsi="宋体" w:eastAsia="宋体" w:cs="宋体"/>
          <w:sz w:val="21"/>
          <w:szCs w:val="21"/>
        </w:rPr>
        <w:t>www.creditchina.gov.cn</w:t>
      </w:r>
      <w:r>
        <w:rPr>
          <w:sz w:val="21"/>
          <w:szCs w:val="21"/>
        </w:rPr>
        <w:fldChar w:fldCharType="end"/>
      </w:r>
      <w:r>
        <w:rPr>
          <w:rFonts w:hint="eastAsia" w:ascii="宋体" w:hAnsi="宋体" w:eastAsia="宋体" w:cs="宋体"/>
          <w:color w:val="404040"/>
          <w:sz w:val="21"/>
          <w:szCs w:val="21"/>
        </w:rPr>
        <w:t>)”、“中国政府采购网(</w:t>
      </w:r>
      <w:r>
        <w:rPr>
          <w:sz w:val="21"/>
          <w:szCs w:val="21"/>
        </w:rPr>
        <w:fldChar w:fldCharType="begin"/>
      </w:r>
      <w:r>
        <w:rPr>
          <w:sz w:val="21"/>
          <w:szCs w:val="21"/>
        </w:rPr>
        <w:instrText xml:space="preserve">HYPERLINK "http://www.ccgp.gov.cn/" </w:instrText>
      </w:r>
      <w:r>
        <w:rPr>
          <w:sz w:val="21"/>
          <w:szCs w:val="21"/>
        </w:rPr>
        <w:fldChar w:fldCharType="separate"/>
      </w:r>
      <w:r>
        <w:rPr>
          <w:rStyle w:val="14"/>
          <w:rFonts w:hint="eastAsia" w:ascii="宋体" w:hAnsi="宋体" w:eastAsia="宋体" w:cs="宋体"/>
          <w:sz w:val="21"/>
          <w:szCs w:val="21"/>
        </w:rPr>
        <w:t>www.ccgp.gov.cn</w:t>
      </w:r>
      <w:r>
        <w:rPr>
          <w:sz w:val="21"/>
          <w:szCs w:val="21"/>
        </w:rPr>
        <w:fldChar w:fldCharType="end"/>
      </w:r>
      <w:r>
        <w:rPr>
          <w:rFonts w:hint="eastAsia" w:ascii="宋体" w:hAnsi="宋体" w:eastAsia="宋体" w:cs="宋体"/>
          <w:color w:val="404040"/>
          <w:sz w:val="21"/>
          <w:szCs w:val="21"/>
        </w:rPr>
        <w:t>)”查询并打印相应的信用记录。</w:t>
      </w:r>
    </w:p>
    <w:p w14:paraId="5309D239">
      <w:pPr>
        <w:numPr>
          <w:ilvl w:val="0"/>
          <w:numId w:val="2"/>
        </w:numPr>
        <w:adjustRightInd/>
        <w:snapToGrid/>
        <w:spacing w:before="150" w:after="0" w:line="480" w:lineRule="atLeast"/>
        <w:jc w:val="both"/>
        <w:rPr>
          <w:rFonts w:hint="eastAsia" w:ascii="宋体" w:hAnsi="宋体" w:eastAsia="宋体" w:cs="宋体"/>
          <w:color w:val="404040"/>
          <w:sz w:val="21"/>
          <w:szCs w:val="21"/>
        </w:rPr>
      </w:pPr>
      <w:r>
        <w:rPr>
          <w:rFonts w:hint="eastAsia" w:ascii="宋体" w:hAnsi="宋体" w:eastAsia="宋体" w:cs="宋体"/>
          <w:color w:val="404040"/>
          <w:sz w:val="21"/>
          <w:szCs w:val="21"/>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11D61A24">
      <w:pPr>
        <w:adjustRightInd/>
        <w:snapToGrid/>
        <w:spacing w:before="150" w:after="0" w:line="480" w:lineRule="atLeast"/>
        <w:ind w:firstLine="480"/>
        <w:jc w:val="both"/>
        <w:rPr>
          <w:rFonts w:hint="eastAsia" w:ascii="宋体" w:hAnsi="宋体" w:eastAsia="宋体" w:cs="宋体"/>
          <w:color w:val="404040"/>
          <w:sz w:val="21"/>
          <w:szCs w:val="21"/>
        </w:rPr>
      </w:pPr>
      <w:r>
        <w:rPr>
          <w:rFonts w:hint="eastAsia" w:ascii="宋体" w:hAnsi="宋体" w:eastAsia="宋体" w:cs="宋体"/>
          <w:color w:val="404040"/>
          <w:sz w:val="21"/>
          <w:szCs w:val="21"/>
        </w:rPr>
        <w:t>上述提供材料均须加盖公章。</w:t>
      </w:r>
    </w:p>
    <w:p w14:paraId="18281580">
      <w:pPr>
        <w:adjustRightInd/>
        <w:snapToGrid/>
        <w:spacing w:before="150" w:after="0" w:line="480" w:lineRule="atLeast"/>
        <w:ind w:firstLine="420" w:firstLineChars="200"/>
        <w:jc w:val="both"/>
        <w:rPr>
          <w:rFonts w:hint="eastAsia" w:ascii="宋体" w:hAnsi="宋体" w:eastAsia="宋体" w:cs="宋体"/>
          <w:color w:val="404040"/>
          <w:sz w:val="21"/>
          <w:szCs w:val="21"/>
        </w:rPr>
      </w:pPr>
      <w:r>
        <w:rPr>
          <w:rFonts w:hint="eastAsia" w:ascii="宋体" w:hAnsi="宋体" w:eastAsia="宋体" w:cs="宋体"/>
          <w:color w:val="404040"/>
          <w:sz w:val="21"/>
          <w:szCs w:val="21"/>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0FB74D31">
      <w:pPr>
        <w:pStyle w:val="7"/>
        <w:rPr>
          <w:rFonts w:hint="eastAsia"/>
        </w:rPr>
      </w:pPr>
    </w:p>
    <w:p w14:paraId="056283CF">
      <w:pPr>
        <w:spacing w:before="150" w:line="560" w:lineRule="exact"/>
        <w:rPr>
          <w:rFonts w:hint="eastAsia" w:ascii="宋体" w:hAnsi="宋体" w:cs="宋体"/>
          <w:color w:val="000000"/>
          <w:szCs w:val="21"/>
        </w:rPr>
      </w:pPr>
      <w:r>
        <w:rPr>
          <w:rFonts w:hint="eastAsia" w:ascii="宋体" w:hAnsi="宋体" w:cs="宋体"/>
          <w:b/>
          <w:bCs/>
          <w:color w:val="000000"/>
          <w:szCs w:val="21"/>
        </w:rPr>
        <w:t>三、招标文件的获取</w:t>
      </w:r>
    </w:p>
    <w:p w14:paraId="4502B9B1">
      <w:pPr>
        <w:spacing w:before="150" w:line="560" w:lineRule="exact"/>
        <w:rPr>
          <w:rFonts w:hint="eastAsia" w:ascii="宋体" w:hAnsi="宋体" w:cs="宋体"/>
          <w:color w:val="000000"/>
          <w:szCs w:val="21"/>
        </w:rPr>
      </w:pPr>
      <w:r>
        <w:rPr>
          <w:rFonts w:hint="eastAsia" w:ascii="宋体" w:hAnsi="宋体" w:cs="宋体"/>
          <w:color w:val="000000"/>
          <w:szCs w:val="21"/>
        </w:rPr>
        <w:t>   1、本招标项目不采用电子招投标。</w:t>
      </w:r>
    </w:p>
    <w:p w14:paraId="44731659">
      <w:pPr>
        <w:spacing w:before="150" w:line="560" w:lineRule="exact"/>
        <w:rPr>
          <w:rFonts w:hint="eastAsia" w:ascii="宋体" w:hAnsi="宋体" w:cs="宋体"/>
          <w:color w:val="000000"/>
          <w:szCs w:val="21"/>
        </w:rPr>
      </w:pPr>
      <w:r>
        <w:rPr>
          <w:rFonts w:hint="eastAsia" w:ascii="宋体" w:hAnsi="宋体" w:cs="宋体"/>
          <w:color w:val="000000"/>
          <w:szCs w:val="21"/>
        </w:rPr>
        <w:t>   2、凡有意参加投标者，请于</w:t>
      </w:r>
      <w:r>
        <w:rPr>
          <w:rFonts w:hint="eastAsia" w:ascii="宋体" w:hAnsi="宋体" w:cs="宋体"/>
          <w:color w:val="000000"/>
          <w:szCs w:val="21"/>
          <w:lang w:val="en-US" w:eastAsia="zh-CN"/>
        </w:rPr>
        <w:t>2025</w:t>
      </w:r>
      <w:r>
        <w:rPr>
          <w:rFonts w:hint="eastAsia" w:ascii="宋体" w:hAnsi="宋体" w:cs="宋体"/>
          <w:color w:val="000000"/>
          <w:szCs w:val="21"/>
        </w:rPr>
        <w:t>年</w:t>
      </w:r>
      <w:r>
        <w:rPr>
          <w:rFonts w:hint="eastAsia" w:ascii="宋体" w:hAnsi="宋体" w:cs="宋体"/>
          <w:color w:val="000000"/>
          <w:szCs w:val="21"/>
          <w:lang w:val="en-US" w:eastAsia="zh-CN"/>
        </w:rPr>
        <w:t>12</w:t>
      </w:r>
      <w:r>
        <w:rPr>
          <w:rFonts w:hint="eastAsia" w:ascii="宋体" w:hAnsi="宋体" w:cs="宋体"/>
          <w:color w:val="000000"/>
          <w:szCs w:val="21"/>
        </w:rPr>
        <w:t>月</w:t>
      </w:r>
      <w:r>
        <w:rPr>
          <w:rFonts w:hint="eastAsia" w:ascii="宋体" w:hAnsi="宋体" w:cs="宋体"/>
          <w:color w:val="000000"/>
          <w:szCs w:val="21"/>
          <w:lang w:val="en-US" w:eastAsia="zh-CN"/>
        </w:rPr>
        <w:t>5</w:t>
      </w:r>
      <w:r>
        <w:rPr>
          <w:rFonts w:hint="eastAsia" w:ascii="宋体" w:hAnsi="宋体" w:cs="宋体"/>
          <w:color w:val="000000"/>
          <w:szCs w:val="21"/>
        </w:rPr>
        <w:t>日至</w:t>
      </w:r>
      <w:r>
        <w:rPr>
          <w:rFonts w:hint="eastAsia" w:ascii="宋体" w:hAnsi="宋体" w:cs="宋体"/>
          <w:color w:val="000000"/>
          <w:szCs w:val="21"/>
          <w:lang w:val="en-US" w:eastAsia="zh-CN"/>
        </w:rPr>
        <w:t>2025</w:t>
      </w:r>
      <w:r>
        <w:rPr>
          <w:rFonts w:hint="eastAsia" w:ascii="宋体" w:hAnsi="宋体" w:cs="宋体"/>
          <w:color w:val="000000"/>
          <w:szCs w:val="21"/>
        </w:rPr>
        <w:t>年</w:t>
      </w:r>
      <w:r>
        <w:rPr>
          <w:rFonts w:hint="eastAsia" w:ascii="宋体" w:hAnsi="宋体" w:cs="宋体"/>
          <w:color w:val="000000"/>
          <w:szCs w:val="21"/>
          <w:lang w:val="en-US" w:eastAsia="zh-CN"/>
        </w:rPr>
        <w:t>12</w:t>
      </w:r>
      <w:r>
        <w:rPr>
          <w:rFonts w:hint="eastAsia" w:ascii="宋体" w:hAnsi="宋体" w:cs="宋体"/>
          <w:color w:val="000000"/>
          <w:szCs w:val="21"/>
        </w:rPr>
        <w:t>月</w:t>
      </w:r>
      <w:r>
        <w:rPr>
          <w:rFonts w:hint="eastAsia" w:ascii="宋体" w:hAnsi="宋体" w:cs="宋体"/>
          <w:color w:val="000000"/>
          <w:szCs w:val="21"/>
          <w:lang w:val="en-US" w:eastAsia="zh-CN"/>
        </w:rPr>
        <w:t>9</w:t>
      </w:r>
      <w:r>
        <w:rPr>
          <w:rFonts w:hint="eastAsia" w:ascii="宋体" w:hAnsi="宋体" w:cs="宋体"/>
          <w:color w:val="000000"/>
          <w:szCs w:val="21"/>
        </w:rPr>
        <w:t>日(节假日除外)8：00-12：00或14：00-17：00，携带加盖公章的营业执照复印件、介绍信前往福建省肿瘤医院总务科报名。</w:t>
      </w:r>
    </w:p>
    <w:p w14:paraId="553B607A">
      <w:pPr>
        <w:spacing w:before="150" w:line="560" w:lineRule="exact"/>
        <w:rPr>
          <w:rFonts w:hint="eastAsia" w:ascii="宋体" w:hAnsi="宋体" w:cs="宋体"/>
          <w:color w:val="000000"/>
          <w:szCs w:val="21"/>
        </w:rPr>
      </w:pPr>
      <w:r>
        <w:rPr>
          <w:rFonts w:hint="eastAsia" w:ascii="宋体" w:hAnsi="宋体" w:cs="宋体"/>
          <w:color w:val="000000"/>
          <w:szCs w:val="21"/>
        </w:rPr>
        <w:t>   联系人：</w:t>
      </w:r>
      <w:r>
        <w:rPr>
          <w:rFonts w:hint="eastAsia" w:ascii="宋体" w:hAnsi="宋体" w:cs="宋体"/>
          <w:color w:val="000000"/>
          <w:szCs w:val="21"/>
          <w:lang w:val="en-US" w:eastAsia="zh-CN"/>
        </w:rPr>
        <w:t>陈女士</w:t>
      </w:r>
      <w:r>
        <w:rPr>
          <w:rFonts w:hint="eastAsia" w:ascii="宋体" w:hAnsi="宋体" w:cs="宋体"/>
          <w:color w:val="000000"/>
          <w:szCs w:val="21"/>
        </w:rPr>
        <w:t xml:space="preserve">        联系电话： 0591-62752801</w:t>
      </w:r>
    </w:p>
    <w:p w14:paraId="68B322A7">
      <w:pPr>
        <w:spacing w:before="150" w:line="560" w:lineRule="exact"/>
        <w:rPr>
          <w:rFonts w:hint="eastAsia" w:ascii="宋体" w:hAnsi="宋体" w:cs="宋体"/>
          <w:color w:val="000000"/>
          <w:szCs w:val="21"/>
        </w:rPr>
      </w:pPr>
      <w:r>
        <w:rPr>
          <w:rFonts w:hint="eastAsia" w:ascii="宋体" w:hAnsi="宋体" w:cs="宋体"/>
          <w:b/>
          <w:bCs/>
          <w:color w:val="000000"/>
          <w:szCs w:val="21"/>
        </w:rPr>
        <w:t>四、答疑截止时间</w:t>
      </w:r>
    </w:p>
    <w:p w14:paraId="1B88FA7A">
      <w:pPr>
        <w:spacing w:before="150" w:line="560" w:lineRule="exact"/>
        <w:ind w:firstLine="480"/>
        <w:rPr>
          <w:rFonts w:hint="eastAsia" w:ascii="宋体" w:hAnsi="宋体" w:cs="宋体"/>
          <w:color w:val="000000"/>
          <w:szCs w:val="21"/>
        </w:rPr>
      </w:pPr>
      <w:r>
        <w:rPr>
          <w:rFonts w:hint="eastAsia" w:ascii="宋体" w:hAnsi="宋体" w:cs="宋体"/>
          <w:color w:val="000000"/>
          <w:szCs w:val="21"/>
        </w:rPr>
        <w:t>投标人若要求澄清招标文件，应在获取招标文件截止时间后的2个工作日内提出，招标人将随时解答。</w:t>
      </w:r>
    </w:p>
    <w:p w14:paraId="694101DD">
      <w:pPr>
        <w:spacing w:before="150" w:line="560" w:lineRule="exact"/>
        <w:rPr>
          <w:rFonts w:hint="eastAsia" w:ascii="宋体" w:hAnsi="宋体" w:cs="宋体"/>
          <w:color w:val="000000"/>
          <w:szCs w:val="21"/>
        </w:rPr>
      </w:pPr>
      <w:r>
        <w:rPr>
          <w:rFonts w:hint="eastAsia" w:ascii="宋体" w:hAnsi="宋体" w:cs="宋体"/>
          <w:b/>
          <w:bCs/>
          <w:color w:val="000000"/>
          <w:szCs w:val="21"/>
        </w:rPr>
        <w:t>五、投标文件的要求及递交</w:t>
      </w:r>
    </w:p>
    <w:p w14:paraId="135B4126">
      <w:pPr>
        <w:spacing w:before="150" w:line="560" w:lineRule="exact"/>
        <w:ind w:firstLine="480"/>
        <w:rPr>
          <w:rFonts w:hint="eastAsia" w:ascii="宋体" w:hAnsi="宋体" w:cs="宋体"/>
          <w:color w:val="000000"/>
          <w:szCs w:val="21"/>
        </w:rPr>
      </w:pPr>
      <w:r>
        <w:rPr>
          <w:rFonts w:hint="eastAsia" w:ascii="宋体" w:hAnsi="宋体" w:cs="宋体"/>
          <w:color w:val="000000"/>
          <w:szCs w:val="21"/>
        </w:rPr>
        <w:t>1、投标文件正本</w:t>
      </w:r>
      <w:r>
        <w:rPr>
          <w:rFonts w:hint="eastAsia" w:ascii="宋体" w:hAnsi="宋体" w:cs="宋体"/>
          <w:bCs/>
          <w:color w:val="000000"/>
          <w:szCs w:val="21"/>
          <w:u w:val="single"/>
        </w:rPr>
        <w:t>壹</w:t>
      </w:r>
      <w:r>
        <w:rPr>
          <w:rFonts w:hint="eastAsia" w:ascii="宋体" w:hAnsi="宋体" w:cs="宋体"/>
          <w:color w:val="000000"/>
          <w:szCs w:val="21"/>
        </w:rPr>
        <w:t>份,副本</w:t>
      </w:r>
      <w:r>
        <w:rPr>
          <w:rFonts w:hint="eastAsia" w:ascii="宋体" w:hAnsi="宋体" w:cs="宋体"/>
          <w:bCs/>
          <w:color w:val="000000"/>
          <w:szCs w:val="21"/>
          <w:u w:val="single"/>
        </w:rPr>
        <w:t>壹</w:t>
      </w:r>
      <w:r>
        <w:rPr>
          <w:rFonts w:hint="eastAsia" w:ascii="宋体" w:hAnsi="宋体" w:cs="宋体"/>
          <w:color w:val="000000"/>
          <w:szCs w:val="21"/>
        </w:rPr>
        <w:t>份胶装并密封加盖投标人公章。投标文件未胶装将视为无效。</w:t>
      </w:r>
    </w:p>
    <w:p w14:paraId="3FD9A356">
      <w:pPr>
        <w:spacing w:before="150" w:line="560" w:lineRule="exact"/>
        <w:rPr>
          <w:rFonts w:hint="eastAsia" w:ascii="宋体" w:hAnsi="宋体" w:cs="宋体"/>
          <w:color w:val="000000"/>
          <w:szCs w:val="21"/>
        </w:rPr>
      </w:pPr>
      <w:r>
        <w:rPr>
          <w:rFonts w:hint="eastAsia" w:ascii="宋体" w:hAnsi="宋体" w:cs="宋体"/>
          <w:b/>
          <w:bCs/>
          <w:color w:val="000000"/>
          <w:szCs w:val="21"/>
        </w:rPr>
        <w:t>六、开标评标时间地点</w:t>
      </w:r>
    </w:p>
    <w:p w14:paraId="323DE9E9">
      <w:pPr>
        <w:spacing w:before="150" w:line="560" w:lineRule="exact"/>
        <w:ind w:firstLine="480"/>
        <w:rPr>
          <w:rFonts w:hint="eastAsia" w:ascii="宋体" w:hAnsi="宋体" w:cs="宋体"/>
          <w:szCs w:val="21"/>
        </w:rPr>
      </w:pPr>
      <w:r>
        <w:rPr>
          <w:rFonts w:hint="eastAsia" w:ascii="宋体" w:hAnsi="宋体" w:cs="宋体"/>
          <w:color w:val="000000"/>
          <w:szCs w:val="21"/>
        </w:rPr>
        <w:t>1、开标时间：202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12</w:t>
      </w:r>
      <w:r>
        <w:rPr>
          <w:rFonts w:hint="eastAsia" w:ascii="宋体" w:hAnsi="宋体" w:cs="宋体"/>
          <w:szCs w:val="21"/>
        </w:rPr>
        <w:t>月</w:t>
      </w:r>
      <w:r>
        <w:rPr>
          <w:rFonts w:hint="eastAsia" w:ascii="宋体" w:hAnsi="宋体" w:cs="宋体"/>
          <w:szCs w:val="21"/>
          <w:lang w:val="en-US" w:eastAsia="zh-CN"/>
        </w:rPr>
        <w:t>10</w:t>
      </w:r>
      <w:r>
        <w:rPr>
          <w:rFonts w:hint="eastAsia" w:ascii="宋体" w:hAnsi="宋体" w:cs="宋体"/>
          <w:szCs w:val="21"/>
        </w:rPr>
        <w:t>日</w:t>
      </w:r>
      <w:r>
        <w:rPr>
          <w:rFonts w:hint="eastAsia" w:ascii="宋体" w:hAnsi="宋体" w:cs="宋体"/>
          <w:szCs w:val="21"/>
          <w:lang w:val="en-US" w:eastAsia="zh-CN"/>
        </w:rPr>
        <w:t>09：00</w:t>
      </w:r>
      <w:r>
        <w:rPr>
          <w:rFonts w:hint="eastAsia" w:ascii="宋体" w:hAnsi="宋体" w:cs="宋体"/>
          <w:szCs w:val="21"/>
        </w:rPr>
        <w:t xml:space="preserve"> </w:t>
      </w:r>
    </w:p>
    <w:p w14:paraId="74AEA8BB">
      <w:pPr>
        <w:spacing w:before="150" w:line="560" w:lineRule="exact"/>
        <w:ind w:firstLine="480"/>
        <w:rPr>
          <w:rFonts w:hint="eastAsia" w:ascii="宋体" w:hAnsi="宋体" w:cs="宋体"/>
          <w:color w:val="000000"/>
          <w:szCs w:val="21"/>
        </w:rPr>
      </w:pPr>
      <w:r>
        <w:rPr>
          <w:rFonts w:hint="eastAsia" w:ascii="宋体" w:hAnsi="宋体" w:cs="宋体"/>
          <w:color w:val="000000"/>
          <w:szCs w:val="21"/>
        </w:rPr>
        <w:t>2、地点：福建省肿瘤医院</w:t>
      </w:r>
      <w:r>
        <w:rPr>
          <w:rFonts w:hint="eastAsia" w:ascii="宋体" w:hAnsi="宋体" w:cs="宋体"/>
          <w:color w:val="000000"/>
          <w:szCs w:val="21"/>
          <w:lang w:val="en-US" w:eastAsia="zh-CN"/>
        </w:rPr>
        <w:t>科研楼一楼总务科</w:t>
      </w:r>
    </w:p>
    <w:p w14:paraId="56E4184C">
      <w:pPr>
        <w:spacing w:before="150" w:line="560" w:lineRule="exact"/>
        <w:rPr>
          <w:rFonts w:hint="eastAsia" w:ascii="宋体" w:hAnsi="宋体" w:cs="宋体"/>
          <w:color w:val="000000"/>
          <w:szCs w:val="21"/>
        </w:rPr>
      </w:pPr>
      <w:r>
        <w:rPr>
          <w:rFonts w:hint="eastAsia" w:ascii="宋体" w:hAnsi="宋体" w:cs="宋体"/>
          <w:color w:val="000000"/>
          <w:szCs w:val="21"/>
        </w:rPr>
        <w:t>备注：</w:t>
      </w:r>
    </w:p>
    <w:p w14:paraId="0CBC105B">
      <w:pPr>
        <w:spacing w:before="150" w:line="560" w:lineRule="exact"/>
        <w:rPr>
          <w:rFonts w:hint="eastAsia" w:ascii="宋体" w:hAnsi="宋体" w:cs="宋体"/>
          <w:color w:val="000000"/>
          <w:szCs w:val="21"/>
        </w:rPr>
      </w:pPr>
      <w:r>
        <w:rPr>
          <w:rFonts w:hint="eastAsia" w:ascii="宋体" w:hAnsi="宋体" w:cs="宋体"/>
          <w:color w:val="000000"/>
          <w:szCs w:val="21"/>
        </w:rPr>
        <w:t>1、未参加报名的潜在投标人，其投标文件将被拒绝。</w:t>
      </w:r>
    </w:p>
    <w:p w14:paraId="539E269D">
      <w:pPr>
        <w:spacing w:before="150" w:line="560" w:lineRule="exact"/>
        <w:rPr>
          <w:rFonts w:hint="eastAsia" w:ascii="宋体" w:hAnsi="宋体" w:cs="宋体"/>
          <w:color w:val="000000"/>
          <w:szCs w:val="21"/>
        </w:rPr>
      </w:pPr>
      <w:r>
        <w:rPr>
          <w:rFonts w:hint="eastAsia" w:ascii="宋体" w:hAnsi="宋体" w:cs="宋体"/>
          <w:color w:val="000000"/>
          <w:szCs w:val="21"/>
        </w:rPr>
        <w:t>2、若有涉及招标文件内容更正，请各潜在投标人密切关注福建省肿瘤医院官网通知，以最新公告为准。</w:t>
      </w:r>
    </w:p>
    <w:p w14:paraId="663BC780">
      <w:pPr>
        <w:spacing w:before="150" w:line="560" w:lineRule="exact"/>
        <w:rPr>
          <w:rFonts w:hint="eastAsia" w:ascii="宋体" w:hAnsi="宋体" w:cs="宋体"/>
          <w:color w:val="000000"/>
          <w:szCs w:val="21"/>
        </w:rPr>
      </w:pPr>
      <w:r>
        <w:rPr>
          <w:rFonts w:hint="eastAsia" w:ascii="宋体" w:hAnsi="宋体" w:cs="宋体"/>
          <w:b/>
          <w:bCs/>
          <w:color w:val="000000"/>
          <w:szCs w:val="21"/>
        </w:rPr>
        <w:t>七、评标原则及办法</w:t>
      </w:r>
    </w:p>
    <w:p w14:paraId="0626F992">
      <w:pPr>
        <w:spacing w:before="150" w:line="560" w:lineRule="exact"/>
        <w:ind w:firstLine="480"/>
        <w:rPr>
          <w:rFonts w:hint="eastAsia" w:ascii="宋体" w:hAnsi="宋体" w:cs="宋体"/>
          <w:color w:val="000000"/>
          <w:szCs w:val="21"/>
        </w:rPr>
      </w:pPr>
      <w:r>
        <w:rPr>
          <w:rFonts w:hint="eastAsia" w:ascii="宋体" w:hAnsi="宋体" w:cs="宋体"/>
          <w:color w:val="000000"/>
          <w:szCs w:val="21"/>
        </w:rPr>
        <w:t>1、评标活动遵循公平、公正、科学和择优的原则。</w:t>
      </w:r>
    </w:p>
    <w:p w14:paraId="11BB5239">
      <w:pPr>
        <w:spacing w:before="150" w:line="560" w:lineRule="exact"/>
        <w:ind w:firstLine="480"/>
        <w:rPr>
          <w:rFonts w:hint="eastAsia" w:ascii="宋体" w:hAnsi="宋体" w:cs="宋体"/>
          <w:szCs w:val="21"/>
        </w:rPr>
      </w:pPr>
      <w:r>
        <w:rPr>
          <w:rFonts w:hint="eastAsia" w:ascii="宋体" w:hAnsi="宋体" w:cs="宋体"/>
          <w:color w:val="000000"/>
          <w:szCs w:val="21"/>
        </w:rPr>
        <w:t>2、评标方式：最低价中标。</w:t>
      </w:r>
      <w:r>
        <w:rPr>
          <w:rFonts w:hint="eastAsia" w:ascii="宋体" w:hAnsi="宋体" w:cs="宋体"/>
          <w:bCs/>
          <w:szCs w:val="21"/>
        </w:rPr>
        <w:t>（符合谈判文件各项要求的且报价最低的投标人）</w:t>
      </w:r>
    </w:p>
    <w:p w14:paraId="1F33DF3B">
      <w:pPr>
        <w:spacing w:before="150" w:line="560" w:lineRule="exact"/>
        <w:ind w:firstLine="420" w:firstLineChars="200"/>
        <w:rPr>
          <w:rFonts w:hint="eastAsia" w:ascii="宋体" w:hAnsi="宋体" w:cs="宋体"/>
          <w:color w:val="000000"/>
          <w:szCs w:val="21"/>
        </w:rPr>
      </w:pPr>
      <w:r>
        <w:rPr>
          <w:rFonts w:hint="eastAsia" w:ascii="宋体" w:hAnsi="宋体" w:cs="宋体"/>
          <w:color w:val="000000"/>
          <w:szCs w:val="21"/>
        </w:rPr>
        <w:t>3、投标人之间有相互串通投标、弄虚作假等违规行为者，将作废标处理，并在我院未来的项目招标中被拒绝接受投标。</w:t>
      </w:r>
    </w:p>
    <w:p w14:paraId="269A0F46">
      <w:pPr>
        <w:spacing w:before="150" w:line="560" w:lineRule="exact"/>
        <w:rPr>
          <w:rFonts w:hint="eastAsia" w:ascii="宋体" w:hAnsi="宋体" w:cs="宋体"/>
          <w:color w:val="000000"/>
          <w:szCs w:val="21"/>
        </w:rPr>
      </w:pPr>
      <w:r>
        <w:rPr>
          <w:rFonts w:hint="eastAsia" w:ascii="宋体" w:hAnsi="宋体" w:cs="宋体"/>
          <w:b/>
          <w:bCs/>
          <w:color w:val="000000"/>
          <w:szCs w:val="21"/>
        </w:rPr>
        <w:t>八、合同条款内容及签订</w:t>
      </w:r>
    </w:p>
    <w:p w14:paraId="5835FEEF">
      <w:pPr>
        <w:spacing w:before="150" w:line="560" w:lineRule="exact"/>
        <w:ind w:firstLine="480"/>
        <w:rPr>
          <w:rFonts w:hint="eastAsia" w:ascii="宋体" w:hAnsi="宋体" w:cs="宋体"/>
          <w:color w:val="000000"/>
          <w:szCs w:val="21"/>
        </w:rPr>
      </w:pPr>
      <w:r>
        <w:rPr>
          <w:rFonts w:hint="eastAsia" w:ascii="宋体" w:hAnsi="宋体" w:cs="宋体"/>
          <w:color w:val="000000"/>
          <w:szCs w:val="21"/>
        </w:rPr>
        <w:t>1、合同专用条款内容依照国家规范文本，合同通用条款内容解释依照国家规范文本。</w:t>
      </w:r>
    </w:p>
    <w:p w14:paraId="5206E9AA">
      <w:pPr>
        <w:spacing w:before="150" w:line="560" w:lineRule="exact"/>
        <w:ind w:firstLine="480"/>
        <w:rPr>
          <w:rFonts w:hint="eastAsia" w:ascii="宋体" w:hAnsi="宋体" w:cs="宋体"/>
          <w:color w:val="000000"/>
          <w:szCs w:val="21"/>
        </w:rPr>
      </w:pPr>
      <w:r>
        <w:rPr>
          <w:rFonts w:hint="eastAsia" w:ascii="宋体" w:hAnsi="宋体" w:cs="宋体"/>
          <w:color w:val="000000"/>
          <w:szCs w:val="21"/>
        </w:rPr>
        <w:t>2、合同签订：中标人在接到中标通知后3天内，应派代表与招标人联系，商讨签订合同事宜。</w:t>
      </w:r>
    </w:p>
    <w:p w14:paraId="43BD086D">
      <w:pPr>
        <w:spacing w:line="560" w:lineRule="exact"/>
        <w:rPr>
          <w:rFonts w:hint="eastAsia" w:ascii="宋体" w:hAnsi="宋体" w:cs="宋体"/>
          <w:color w:val="000000"/>
          <w:szCs w:val="21"/>
        </w:rPr>
      </w:pPr>
      <w:r>
        <w:rPr>
          <w:rFonts w:hint="eastAsia" w:ascii="宋体" w:hAnsi="宋体" w:cs="宋体"/>
          <w:b/>
          <w:bCs/>
          <w:color w:val="000000"/>
          <w:szCs w:val="21"/>
        </w:rPr>
        <w:t>九、付款方式与条件</w:t>
      </w:r>
    </w:p>
    <w:p w14:paraId="48424451">
      <w:pPr>
        <w:spacing w:line="560" w:lineRule="exact"/>
        <w:ind w:firstLine="480"/>
        <w:rPr>
          <w:rFonts w:hint="eastAsia" w:ascii="宋体" w:hAnsi="宋体" w:cs="宋体"/>
          <w:color w:val="000000"/>
          <w:szCs w:val="21"/>
          <w:lang w:val="en-US" w:eastAsia="zh-CN"/>
        </w:rPr>
      </w:pPr>
      <w:r>
        <w:rPr>
          <w:rFonts w:hint="eastAsia" w:ascii="宋体" w:hAnsi="宋体" w:cs="宋体"/>
          <w:color w:val="000000"/>
          <w:szCs w:val="21"/>
          <w:lang w:val="en-US" w:eastAsia="zh-CN"/>
        </w:rPr>
        <w:t>货物全部完成安装，且经过为期 1 个月的试用，未出现任何质量问题，并经甲方验收确认合格后，乙方向甲方开具符合国家规定的正规发票。甲方在收到发票后，向乙方支付合同总价款的 100%。</w:t>
      </w:r>
    </w:p>
    <w:p w14:paraId="262FD6A9">
      <w:pPr>
        <w:spacing w:before="150" w:line="560" w:lineRule="exact"/>
        <w:rPr>
          <w:rFonts w:hint="eastAsia" w:ascii="宋体" w:hAnsi="宋体" w:cs="宋体"/>
          <w:color w:val="000000"/>
          <w:szCs w:val="21"/>
        </w:rPr>
      </w:pPr>
      <w:r>
        <w:rPr>
          <w:rFonts w:hint="eastAsia" w:ascii="宋体" w:hAnsi="宋体" w:cs="宋体"/>
          <w:b/>
          <w:bCs/>
          <w:color w:val="000000"/>
          <w:szCs w:val="21"/>
        </w:rPr>
        <w:t>十、其他未详尽事宜</w:t>
      </w:r>
    </w:p>
    <w:p w14:paraId="717D2282">
      <w:pPr>
        <w:spacing w:before="150" w:line="560" w:lineRule="exact"/>
        <w:ind w:firstLine="480"/>
        <w:rPr>
          <w:rFonts w:hint="eastAsia" w:ascii="宋体" w:hAnsi="宋体" w:cs="宋体"/>
          <w:color w:val="000000"/>
          <w:szCs w:val="21"/>
        </w:rPr>
      </w:pPr>
      <w:r>
        <w:rPr>
          <w:rFonts w:hint="eastAsia" w:ascii="宋体" w:hAnsi="宋体" w:cs="宋体"/>
          <w:color w:val="000000"/>
          <w:szCs w:val="21"/>
        </w:rPr>
        <w:t>依照国家招投标和政府采购有关规定。</w:t>
      </w:r>
    </w:p>
    <w:p w14:paraId="7C8905F0">
      <w:pPr>
        <w:spacing w:before="150" w:line="560" w:lineRule="exact"/>
        <w:ind w:firstLine="480"/>
        <w:jc w:val="right"/>
        <w:rPr>
          <w:rFonts w:hint="eastAsia" w:ascii="宋体" w:hAnsi="宋体" w:cs="宋体"/>
          <w:color w:val="000000"/>
          <w:szCs w:val="21"/>
          <w:lang w:val="en-US" w:eastAsia="zh-CN"/>
        </w:rPr>
      </w:pPr>
      <w:r>
        <w:rPr>
          <w:rFonts w:hint="eastAsia" w:ascii="宋体" w:hAnsi="宋体" w:cs="宋体"/>
          <w:color w:val="000000"/>
          <w:szCs w:val="21"/>
          <w:lang w:val="en-US" w:eastAsia="zh-CN"/>
        </w:rPr>
        <w:t>福建省肿瘤医院</w:t>
      </w:r>
    </w:p>
    <w:p w14:paraId="3237D890">
      <w:pPr>
        <w:spacing w:before="150" w:line="560" w:lineRule="exact"/>
        <w:ind w:firstLine="480"/>
        <w:jc w:val="right"/>
        <w:rPr>
          <w:rFonts w:hint="default" w:ascii="宋体" w:hAnsi="宋体" w:cs="宋体"/>
          <w:color w:val="000000"/>
          <w:szCs w:val="21"/>
          <w:lang w:val="en-US" w:eastAsia="zh-CN"/>
        </w:rPr>
      </w:pPr>
      <w:r>
        <w:rPr>
          <w:rFonts w:hint="eastAsia" w:ascii="宋体" w:hAnsi="宋体" w:cs="宋体"/>
          <w:color w:val="000000"/>
          <w:szCs w:val="21"/>
          <w:lang w:val="en-US" w:eastAsia="zh-CN"/>
        </w:rPr>
        <w:t>2025年12月4日</w:t>
      </w:r>
    </w:p>
    <w:p w14:paraId="3DC22845">
      <w:pPr>
        <w:spacing w:before="150" w:line="560" w:lineRule="exact"/>
        <w:ind w:firstLine="480"/>
        <w:rPr>
          <w:rFonts w:hint="eastAsia" w:ascii="宋体" w:hAnsi="宋体" w:cs="宋体"/>
          <w:color w:val="000000"/>
          <w:szCs w:val="21"/>
        </w:rPr>
      </w:pPr>
    </w:p>
    <w:p w14:paraId="4BFF9B52">
      <w:pPr>
        <w:pStyle w:val="5"/>
        <w:jc w:val="center"/>
        <w:rPr>
          <w:rFonts w:ascii="仿宋" w:hAnsi="仿宋" w:eastAsia="仿宋"/>
          <w:b/>
          <w:sz w:val="30"/>
          <w:szCs w:val="30"/>
        </w:rPr>
      </w:pPr>
      <w:r>
        <w:rPr>
          <w:rFonts w:hint="eastAsia" w:ascii="仿宋" w:hAnsi="仿宋" w:eastAsia="仿宋"/>
          <w:b/>
          <w:sz w:val="30"/>
          <w:szCs w:val="30"/>
        </w:rPr>
        <w:t>报价内容一览</w:t>
      </w:r>
    </w:p>
    <w:tbl>
      <w:tblPr>
        <w:tblStyle w:val="12"/>
        <w:tblW w:w="101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569"/>
        <w:gridCol w:w="1560"/>
        <w:gridCol w:w="2045"/>
        <w:gridCol w:w="2045"/>
        <w:gridCol w:w="1694"/>
      </w:tblGrid>
      <w:tr w14:paraId="2A023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276" w:type="dxa"/>
            <w:shd w:val="clear" w:color="FFFFFF" w:fill="auto"/>
            <w:vAlign w:val="center"/>
          </w:tcPr>
          <w:p w14:paraId="1912A74B">
            <w:pPr>
              <w:jc w:val="center"/>
              <w:rPr>
                <w:rFonts w:ascii="宋体" w:hAnsi="宋体" w:cs="Arial"/>
                <w:color w:val="000000"/>
                <w:sz w:val="24"/>
                <w:szCs w:val="24"/>
              </w:rPr>
            </w:pPr>
            <w:r>
              <w:rPr>
                <w:rFonts w:hint="eastAsia" w:ascii="宋体" w:hAnsi="宋体" w:cs="Arial"/>
                <w:color w:val="000000"/>
                <w:sz w:val="24"/>
                <w:szCs w:val="24"/>
              </w:rPr>
              <w:t>项 目 名 称</w:t>
            </w:r>
          </w:p>
        </w:tc>
        <w:tc>
          <w:tcPr>
            <w:tcW w:w="1569" w:type="dxa"/>
            <w:shd w:val="clear" w:color="FFFFFF" w:fill="auto"/>
            <w:vAlign w:val="center"/>
          </w:tcPr>
          <w:p w14:paraId="7D0025F7">
            <w:pPr>
              <w:jc w:val="center"/>
              <w:rPr>
                <w:rFonts w:ascii="宋体" w:hAnsi="宋体" w:cs="Arial"/>
                <w:color w:val="000000"/>
                <w:sz w:val="24"/>
                <w:szCs w:val="24"/>
              </w:rPr>
            </w:pPr>
            <w:r>
              <w:rPr>
                <w:rFonts w:hint="eastAsia" w:ascii="宋体" w:hAnsi="宋体" w:cs="Arial"/>
                <w:color w:val="000000"/>
                <w:sz w:val="24"/>
                <w:szCs w:val="24"/>
              </w:rPr>
              <w:t>数量及主要技术规格要求</w:t>
            </w:r>
          </w:p>
        </w:tc>
        <w:tc>
          <w:tcPr>
            <w:tcW w:w="1560" w:type="dxa"/>
            <w:shd w:val="clear" w:color="FFFFFF" w:fill="auto"/>
            <w:vAlign w:val="center"/>
          </w:tcPr>
          <w:p w14:paraId="70E6AF2E">
            <w:pPr>
              <w:jc w:val="center"/>
              <w:rPr>
                <w:rFonts w:ascii="宋体" w:hAnsi="宋体" w:cs="Arial"/>
                <w:color w:val="000000"/>
                <w:sz w:val="24"/>
                <w:szCs w:val="24"/>
              </w:rPr>
            </w:pPr>
            <w:r>
              <w:rPr>
                <w:rFonts w:hint="eastAsia" w:ascii="宋体" w:hAnsi="宋体" w:cs="Arial"/>
                <w:color w:val="000000"/>
                <w:sz w:val="24"/>
                <w:szCs w:val="24"/>
              </w:rPr>
              <w:t>招标方式</w:t>
            </w:r>
          </w:p>
        </w:tc>
        <w:tc>
          <w:tcPr>
            <w:tcW w:w="2045" w:type="dxa"/>
            <w:shd w:val="clear" w:color="FFFFFF" w:fill="auto"/>
            <w:vAlign w:val="center"/>
          </w:tcPr>
          <w:p w14:paraId="3994F119">
            <w:pPr>
              <w:jc w:val="center"/>
              <w:rPr>
                <w:rFonts w:ascii="宋体" w:hAnsi="宋体" w:cs="Arial"/>
                <w:color w:val="000000"/>
                <w:sz w:val="24"/>
                <w:szCs w:val="24"/>
              </w:rPr>
            </w:pPr>
            <w:r>
              <w:rPr>
                <w:rFonts w:hint="eastAsia" w:ascii="宋体" w:hAnsi="宋体" w:cs="Arial"/>
                <w:color w:val="000000"/>
                <w:sz w:val="24"/>
                <w:szCs w:val="24"/>
              </w:rPr>
              <w:t>交货形式</w:t>
            </w:r>
          </w:p>
        </w:tc>
        <w:tc>
          <w:tcPr>
            <w:tcW w:w="2045" w:type="dxa"/>
            <w:shd w:val="clear" w:color="FFFFFF" w:fill="auto"/>
            <w:vAlign w:val="center"/>
          </w:tcPr>
          <w:p w14:paraId="04E2F320">
            <w:pPr>
              <w:jc w:val="center"/>
              <w:rPr>
                <w:rFonts w:ascii="宋体" w:hAnsi="宋体" w:cs="Arial"/>
                <w:color w:val="000000"/>
                <w:sz w:val="24"/>
                <w:szCs w:val="24"/>
              </w:rPr>
            </w:pPr>
            <w:r>
              <w:rPr>
                <w:rFonts w:hint="eastAsia" w:ascii="宋体" w:hAnsi="宋体" w:cs="Arial"/>
                <w:color w:val="000000"/>
                <w:sz w:val="24"/>
                <w:szCs w:val="24"/>
              </w:rPr>
              <w:t>交货期</w:t>
            </w:r>
          </w:p>
        </w:tc>
        <w:tc>
          <w:tcPr>
            <w:tcW w:w="1694" w:type="dxa"/>
            <w:shd w:val="clear" w:color="FFFFFF" w:fill="auto"/>
            <w:vAlign w:val="center"/>
          </w:tcPr>
          <w:p w14:paraId="5F43F5A1">
            <w:pPr>
              <w:jc w:val="center"/>
              <w:rPr>
                <w:rFonts w:ascii="宋体" w:hAnsi="宋体" w:cs="Arial"/>
                <w:color w:val="000000"/>
                <w:sz w:val="24"/>
                <w:szCs w:val="24"/>
              </w:rPr>
            </w:pPr>
            <w:r>
              <w:rPr>
                <w:rFonts w:hint="eastAsia" w:ascii="宋体" w:hAnsi="宋体" w:cs="Arial"/>
                <w:color w:val="000000"/>
                <w:sz w:val="24"/>
                <w:szCs w:val="24"/>
              </w:rPr>
              <w:t>总控制价</w:t>
            </w:r>
          </w:p>
        </w:tc>
      </w:tr>
      <w:tr w14:paraId="0C137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8" w:hRule="atLeast"/>
          <w:jc w:val="center"/>
        </w:trPr>
        <w:tc>
          <w:tcPr>
            <w:tcW w:w="1276" w:type="dxa"/>
            <w:vAlign w:val="center"/>
          </w:tcPr>
          <w:p w14:paraId="2946343B">
            <w:pPr>
              <w:spacing w:line="360" w:lineRule="exact"/>
              <w:jc w:val="center"/>
              <w:rPr>
                <w:rFonts w:ascii="宋体" w:hAnsi="宋体" w:cs="Arial"/>
                <w:color w:val="000000"/>
                <w:sz w:val="24"/>
                <w:szCs w:val="24"/>
              </w:rPr>
            </w:pPr>
            <w:r>
              <w:rPr>
                <w:rFonts w:hint="eastAsia" w:ascii="宋体" w:hAnsi="宋体" w:cs="Arial"/>
                <w:sz w:val="24"/>
                <w:szCs w:val="24"/>
                <w:lang w:val="en-US" w:eastAsia="zh-CN"/>
              </w:rPr>
              <w:t>福建省肿瘤医院礼堂椅</w:t>
            </w:r>
            <w:r>
              <w:rPr>
                <w:rFonts w:hint="eastAsia" w:ascii="宋体" w:hAnsi="宋体" w:cs="Arial"/>
                <w:sz w:val="24"/>
                <w:szCs w:val="24"/>
              </w:rPr>
              <w:t>采购项目</w:t>
            </w:r>
          </w:p>
        </w:tc>
        <w:tc>
          <w:tcPr>
            <w:tcW w:w="1569" w:type="dxa"/>
            <w:vAlign w:val="center"/>
          </w:tcPr>
          <w:p w14:paraId="05E32AF1">
            <w:pPr>
              <w:spacing w:line="360" w:lineRule="exact"/>
              <w:jc w:val="center"/>
              <w:rPr>
                <w:rFonts w:ascii="宋体" w:hAnsi="宋体" w:cs="Arial"/>
                <w:sz w:val="24"/>
                <w:szCs w:val="24"/>
              </w:rPr>
            </w:pPr>
            <w:r>
              <w:rPr>
                <w:rFonts w:hint="eastAsia" w:ascii="宋体" w:hAnsi="宋体" w:cs="Arial"/>
                <w:sz w:val="24"/>
                <w:szCs w:val="24"/>
              </w:rPr>
              <w:t>见附件</w:t>
            </w:r>
          </w:p>
        </w:tc>
        <w:tc>
          <w:tcPr>
            <w:tcW w:w="1560" w:type="dxa"/>
            <w:vAlign w:val="center"/>
          </w:tcPr>
          <w:p w14:paraId="4574BB55">
            <w:pPr>
              <w:spacing w:line="360" w:lineRule="exact"/>
              <w:jc w:val="center"/>
              <w:rPr>
                <w:rFonts w:ascii="宋体" w:hAnsi="宋体" w:cs="Arial"/>
                <w:color w:val="000000"/>
                <w:sz w:val="24"/>
                <w:szCs w:val="24"/>
              </w:rPr>
            </w:pPr>
            <w:r>
              <w:rPr>
                <w:rFonts w:hint="eastAsia" w:ascii="宋体" w:hAnsi="宋体" w:cs="Arial"/>
                <w:sz w:val="24"/>
                <w:szCs w:val="24"/>
                <w:lang w:val="en-US" w:eastAsia="zh-CN"/>
              </w:rPr>
              <w:t>竞争性谈判</w:t>
            </w:r>
          </w:p>
        </w:tc>
        <w:tc>
          <w:tcPr>
            <w:tcW w:w="2045" w:type="dxa"/>
            <w:vAlign w:val="center"/>
          </w:tcPr>
          <w:p w14:paraId="1BA1960D">
            <w:pPr>
              <w:spacing w:line="360" w:lineRule="exact"/>
              <w:jc w:val="center"/>
              <w:rPr>
                <w:rFonts w:hint="eastAsia" w:ascii="新宋体" w:hAnsi="新宋体" w:eastAsia="新宋体"/>
                <w:color w:val="auto"/>
                <w:sz w:val="24"/>
                <w:szCs w:val="24"/>
              </w:rPr>
            </w:pPr>
            <w:r>
              <w:rPr>
                <w:rFonts w:hint="eastAsia" w:ascii="新宋体" w:hAnsi="新宋体" w:eastAsia="新宋体"/>
                <w:color w:val="auto"/>
                <w:sz w:val="24"/>
                <w:szCs w:val="24"/>
              </w:rPr>
              <w:t>交钥匙形式。报价含货物、运输、安装调试、验收、保险、税费等相关费用。</w:t>
            </w:r>
          </w:p>
          <w:p w14:paraId="23F4CC4F">
            <w:pPr>
              <w:jc w:val="center"/>
              <w:rPr>
                <w:rFonts w:ascii="宋体" w:hAnsi="宋体" w:cs="Arial"/>
                <w:color w:val="000000"/>
                <w:sz w:val="24"/>
                <w:szCs w:val="24"/>
              </w:rPr>
            </w:pPr>
          </w:p>
        </w:tc>
        <w:tc>
          <w:tcPr>
            <w:tcW w:w="2045" w:type="dxa"/>
            <w:vAlign w:val="center"/>
          </w:tcPr>
          <w:p w14:paraId="208DF6B4">
            <w:pPr>
              <w:spacing w:line="360" w:lineRule="exact"/>
              <w:jc w:val="center"/>
              <w:rPr>
                <w:rFonts w:ascii="宋体" w:hAnsi="宋体" w:cs="Arial"/>
                <w:sz w:val="24"/>
                <w:szCs w:val="24"/>
              </w:rPr>
            </w:pPr>
            <w:r>
              <w:rPr>
                <w:rFonts w:hint="eastAsia" w:ascii="新宋体" w:hAnsi="新宋体" w:eastAsia="新宋体"/>
                <w:color w:val="auto"/>
                <w:sz w:val="24"/>
                <w:szCs w:val="24"/>
              </w:rPr>
              <w:t>合同签订后</w:t>
            </w:r>
            <w:r>
              <w:rPr>
                <w:rFonts w:hint="eastAsia" w:ascii="新宋体" w:hAnsi="新宋体" w:eastAsia="新宋体"/>
                <w:color w:val="auto"/>
                <w:sz w:val="24"/>
                <w:szCs w:val="24"/>
                <w:lang w:val="en-US" w:eastAsia="zh-CN"/>
              </w:rPr>
              <w:t>接到甲方通知之日起</w:t>
            </w:r>
            <w:r>
              <w:rPr>
                <w:rFonts w:hint="eastAsia" w:ascii="新宋体" w:hAnsi="新宋体" w:eastAsia="新宋体"/>
                <w:color w:val="auto"/>
                <w:sz w:val="24"/>
                <w:szCs w:val="24"/>
                <w:u w:val="single"/>
                <w:lang w:val="en-US" w:eastAsia="zh-CN"/>
              </w:rPr>
              <w:t>25</w:t>
            </w:r>
            <w:r>
              <w:rPr>
                <w:rFonts w:hint="eastAsia" w:ascii="新宋体" w:hAnsi="新宋体" w:eastAsia="新宋体"/>
                <w:color w:val="auto"/>
                <w:sz w:val="24"/>
                <w:szCs w:val="24"/>
              </w:rPr>
              <w:t>个日历日内交付货物</w:t>
            </w:r>
            <w:r>
              <w:rPr>
                <w:rFonts w:hint="eastAsia" w:ascii="新宋体" w:hAnsi="新宋体" w:eastAsia="新宋体"/>
                <w:color w:val="auto"/>
                <w:sz w:val="24"/>
                <w:szCs w:val="24"/>
                <w:lang w:eastAsia="zh-CN"/>
              </w:rPr>
              <w:t>。</w:t>
            </w:r>
          </w:p>
        </w:tc>
        <w:tc>
          <w:tcPr>
            <w:tcW w:w="1694" w:type="dxa"/>
            <w:vAlign w:val="center"/>
          </w:tcPr>
          <w:p w14:paraId="5108DB2A">
            <w:pPr>
              <w:spacing w:line="360" w:lineRule="exact"/>
              <w:jc w:val="center"/>
              <w:rPr>
                <w:rFonts w:ascii="仿宋_GB2312" w:hAnsi="宋体" w:eastAsia="仿宋_GB2312"/>
                <w:sz w:val="24"/>
                <w:szCs w:val="24"/>
              </w:rPr>
            </w:pPr>
            <w:r>
              <w:rPr>
                <w:rFonts w:hint="eastAsia" w:ascii="新宋体" w:hAnsi="新宋体" w:eastAsia="新宋体"/>
                <w:color w:val="auto"/>
                <w:sz w:val="24"/>
                <w:szCs w:val="24"/>
                <w:lang w:val="en-US" w:eastAsia="zh-CN"/>
              </w:rPr>
              <w:t>22.8</w:t>
            </w:r>
            <w:r>
              <w:rPr>
                <w:rFonts w:hint="eastAsia" w:ascii="新宋体" w:hAnsi="新宋体" w:eastAsia="新宋体"/>
                <w:color w:val="auto"/>
                <w:sz w:val="24"/>
                <w:szCs w:val="24"/>
              </w:rPr>
              <w:t>万元</w:t>
            </w:r>
          </w:p>
        </w:tc>
      </w:tr>
      <w:tr w14:paraId="62F63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6" w:hRule="atLeast"/>
          <w:jc w:val="center"/>
        </w:trPr>
        <w:tc>
          <w:tcPr>
            <w:tcW w:w="10189" w:type="dxa"/>
            <w:gridSpan w:val="6"/>
            <w:vAlign w:val="top"/>
          </w:tcPr>
          <w:p w14:paraId="02C97E1C">
            <w:pPr>
              <w:widowControl/>
              <w:spacing w:before="100" w:beforeAutospacing="1" w:after="100" w:afterAutospacing="1" w:line="452" w:lineRule="atLeast"/>
              <w:jc w:val="left"/>
              <w:rPr>
                <w:rFonts w:hint="eastAsia" w:ascii="宋体" w:hAnsi="宋体" w:cs="宋体"/>
                <w:color w:val="FF0000"/>
                <w:kern w:val="0"/>
                <w:sz w:val="24"/>
                <w:szCs w:val="24"/>
                <w:lang w:val="en-US" w:eastAsia="zh-CN"/>
              </w:rPr>
            </w:pPr>
            <w:r>
              <w:rPr>
                <w:rFonts w:hint="eastAsia" w:ascii="宋体" w:hAnsi="宋体" w:cs="宋体"/>
                <w:kern w:val="0"/>
                <w:sz w:val="24"/>
                <w:szCs w:val="24"/>
                <w:lang w:val="en-US" w:eastAsia="zh-CN"/>
              </w:rPr>
              <w:t>备注：</w:t>
            </w:r>
          </w:p>
          <w:p w14:paraId="7212761A">
            <w:pPr>
              <w:widowControl/>
              <w:numPr>
                <w:ilvl w:val="0"/>
                <w:numId w:val="3"/>
              </w:numPr>
              <w:spacing w:before="100" w:beforeAutospacing="1" w:after="100" w:afterAutospacing="1" w:line="452" w:lineRule="atLeast"/>
              <w:jc w:val="left"/>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项目</w:t>
            </w:r>
            <w:r>
              <w:rPr>
                <w:rFonts w:hint="eastAsia" w:ascii="宋体" w:hAnsi="宋体" w:cs="宋体"/>
                <w:color w:val="auto"/>
                <w:kern w:val="0"/>
                <w:sz w:val="24"/>
                <w:szCs w:val="24"/>
                <w:highlight w:val="none"/>
              </w:rPr>
              <w:t>清单的</w:t>
            </w:r>
            <w:r>
              <w:rPr>
                <w:rFonts w:hint="eastAsia" w:ascii="宋体" w:hAnsi="宋体" w:cs="宋体"/>
                <w:b/>
                <w:bCs/>
                <w:color w:val="auto"/>
                <w:kern w:val="0"/>
                <w:sz w:val="24"/>
                <w:szCs w:val="24"/>
                <w:highlight w:val="none"/>
              </w:rPr>
              <w:t>所有产品</w:t>
            </w:r>
            <w:r>
              <w:rPr>
                <w:rFonts w:hint="eastAsia" w:ascii="宋体" w:hAnsi="宋体" w:cs="宋体"/>
                <w:b/>
                <w:bCs/>
                <w:color w:val="auto"/>
                <w:kern w:val="0"/>
                <w:sz w:val="24"/>
                <w:szCs w:val="24"/>
                <w:highlight w:val="none"/>
                <w:lang w:val="en-US" w:eastAsia="zh-CN"/>
              </w:rPr>
              <w:t>尺寸、颜色</w:t>
            </w:r>
            <w:r>
              <w:rPr>
                <w:rFonts w:hint="eastAsia" w:ascii="宋体" w:hAnsi="宋体" w:cs="宋体"/>
                <w:color w:val="auto"/>
                <w:kern w:val="0"/>
                <w:sz w:val="24"/>
                <w:szCs w:val="24"/>
                <w:highlight w:val="none"/>
                <w:lang w:val="en-US" w:eastAsia="zh-CN"/>
              </w:rPr>
              <w:t>可根据现场实际情况进行调整</w:t>
            </w:r>
            <w:r>
              <w:rPr>
                <w:rFonts w:hint="eastAsia" w:ascii="宋体" w:hAnsi="宋体" w:cs="宋体"/>
                <w:color w:val="auto"/>
                <w:kern w:val="0"/>
                <w:sz w:val="24"/>
                <w:szCs w:val="24"/>
                <w:highlight w:val="none"/>
              </w:rPr>
              <w:t>。中标人在签订合同后，须对采购人所有场地进行实地测量查看，确保产品参数符合场地安装条件，若有差异需及时告知采购人，</w:t>
            </w:r>
            <w:r>
              <w:rPr>
                <w:rFonts w:hint="eastAsia" w:ascii="宋体" w:hAnsi="宋体" w:cs="宋体"/>
                <w:color w:val="auto"/>
                <w:kern w:val="0"/>
                <w:sz w:val="24"/>
                <w:szCs w:val="24"/>
                <w:highlight w:val="none"/>
                <w:lang w:val="en-US" w:eastAsia="zh-CN"/>
              </w:rPr>
              <w:t>本项目存在</w:t>
            </w:r>
            <w:r>
              <w:rPr>
                <w:rFonts w:hint="eastAsia" w:ascii="宋体" w:hAnsi="宋体" w:cs="宋体"/>
                <w:b/>
                <w:bCs/>
                <w:color w:val="auto"/>
                <w:kern w:val="0"/>
                <w:sz w:val="24"/>
                <w:szCs w:val="24"/>
                <w:highlight w:val="none"/>
                <w:lang w:val="en-US" w:eastAsia="zh-CN"/>
              </w:rPr>
              <w:t>分批次进场安装</w:t>
            </w:r>
            <w:r>
              <w:rPr>
                <w:rFonts w:hint="eastAsia" w:ascii="宋体" w:hAnsi="宋体" w:cs="宋体"/>
                <w:color w:val="auto"/>
                <w:kern w:val="0"/>
                <w:sz w:val="24"/>
                <w:szCs w:val="24"/>
                <w:highlight w:val="none"/>
                <w:lang w:val="en-US" w:eastAsia="zh-CN"/>
              </w:rPr>
              <w:t>的情况，中标人</w:t>
            </w:r>
            <w:r>
              <w:rPr>
                <w:rFonts w:hint="eastAsia" w:ascii="宋体" w:hAnsi="宋体" w:cs="宋体"/>
                <w:color w:val="auto"/>
                <w:kern w:val="0"/>
                <w:sz w:val="24"/>
                <w:szCs w:val="24"/>
                <w:highlight w:val="none"/>
              </w:rPr>
              <w:t>根据采购人</w:t>
            </w:r>
            <w:r>
              <w:rPr>
                <w:rFonts w:hint="eastAsia" w:ascii="宋体" w:hAnsi="宋体" w:cs="宋体"/>
                <w:color w:val="auto"/>
                <w:kern w:val="0"/>
                <w:sz w:val="24"/>
                <w:szCs w:val="24"/>
                <w:highlight w:val="none"/>
                <w:lang w:val="en-US" w:eastAsia="zh-CN"/>
              </w:rPr>
              <w:t>实际</w:t>
            </w:r>
            <w:r>
              <w:rPr>
                <w:rFonts w:hint="eastAsia" w:ascii="宋体" w:hAnsi="宋体" w:cs="宋体"/>
                <w:color w:val="auto"/>
                <w:kern w:val="0"/>
                <w:sz w:val="24"/>
                <w:szCs w:val="24"/>
                <w:highlight w:val="none"/>
              </w:rPr>
              <w:t>需求</w:t>
            </w:r>
            <w:r>
              <w:rPr>
                <w:rFonts w:hint="eastAsia" w:ascii="宋体" w:hAnsi="宋体" w:cs="宋体"/>
                <w:color w:val="auto"/>
                <w:kern w:val="0"/>
                <w:sz w:val="24"/>
                <w:szCs w:val="24"/>
                <w:highlight w:val="none"/>
                <w:lang w:val="en-US" w:eastAsia="zh-CN"/>
              </w:rPr>
              <w:t>无条件配合</w:t>
            </w:r>
            <w:r>
              <w:rPr>
                <w:rFonts w:hint="eastAsia" w:ascii="宋体" w:hAnsi="宋体" w:cs="宋体"/>
                <w:color w:val="auto"/>
                <w:kern w:val="0"/>
                <w:sz w:val="24"/>
                <w:szCs w:val="24"/>
                <w:highlight w:val="none"/>
              </w:rPr>
              <w:t>提供相应货物</w:t>
            </w:r>
            <w:r>
              <w:rPr>
                <w:rFonts w:hint="eastAsia" w:ascii="宋体" w:hAnsi="宋体" w:cs="宋体"/>
                <w:color w:val="auto"/>
                <w:kern w:val="0"/>
                <w:sz w:val="24"/>
                <w:szCs w:val="24"/>
                <w:highlight w:val="none"/>
                <w:lang w:val="en-US" w:eastAsia="zh-CN"/>
              </w:rPr>
              <w:t>及安装</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本招标文件中的数量为预估数量，最终据实结算</w:t>
            </w:r>
            <w:r>
              <w:rPr>
                <w:rFonts w:hint="eastAsia" w:ascii="宋体" w:hAnsi="宋体" w:cs="宋体"/>
                <w:color w:val="auto"/>
                <w:kern w:val="0"/>
                <w:sz w:val="24"/>
                <w:szCs w:val="24"/>
                <w:highlight w:val="none"/>
              </w:rPr>
              <w:t>。</w:t>
            </w:r>
          </w:p>
          <w:p w14:paraId="70346515">
            <w:pPr>
              <w:widowControl/>
              <w:numPr>
                <w:ilvl w:val="0"/>
                <w:numId w:val="3"/>
              </w:numPr>
              <w:spacing w:before="100" w:beforeAutospacing="1" w:after="100" w:afterAutospacing="1" w:line="452" w:lineRule="atLeast"/>
              <w:jc w:val="left"/>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合同签订后</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采购人与中标方确认尺寸、颜色等样式后，</w:t>
            </w:r>
            <w:r>
              <w:rPr>
                <w:rFonts w:hint="eastAsia" w:ascii="宋体" w:hAnsi="宋体" w:cs="宋体"/>
                <w:b/>
                <w:bCs/>
                <w:color w:val="auto"/>
                <w:kern w:val="0"/>
                <w:sz w:val="24"/>
                <w:szCs w:val="24"/>
                <w:highlight w:val="none"/>
                <w:lang w:val="en-US" w:eastAsia="zh-CN"/>
              </w:rPr>
              <w:t>10个日历日内提供一张样品</w:t>
            </w:r>
            <w:r>
              <w:rPr>
                <w:rFonts w:hint="eastAsia" w:ascii="宋体" w:hAnsi="宋体" w:cs="宋体"/>
                <w:color w:val="auto"/>
                <w:kern w:val="0"/>
                <w:sz w:val="24"/>
                <w:szCs w:val="24"/>
                <w:highlight w:val="none"/>
                <w:lang w:val="en-US" w:eastAsia="zh-CN"/>
              </w:rPr>
              <w:t>，经采购方验收过关后，再通知中标方批量生产供货，接到甲方通知之日起25个日历日内交付货物。</w:t>
            </w:r>
          </w:p>
          <w:p w14:paraId="08397B64">
            <w:pPr>
              <w:numPr>
                <w:ilvl w:val="0"/>
                <w:numId w:val="0"/>
              </w:numPr>
              <w:snapToGrid w:val="0"/>
              <w:spacing w:line="400" w:lineRule="exact"/>
              <w:jc w:val="both"/>
              <w:rPr>
                <w:sz w:val="24"/>
                <w:szCs w:val="24"/>
                <w:lang w:val="en-US" w:eastAsia="zh-CN"/>
              </w:rPr>
            </w:pPr>
            <w:r>
              <w:rPr>
                <w:rFonts w:hint="eastAsia" w:ascii="新宋体" w:hAnsi="新宋体" w:eastAsia="新宋体"/>
                <w:sz w:val="24"/>
                <w:szCs w:val="24"/>
              </w:rPr>
              <w:t xml:space="preserve">                      </w:t>
            </w:r>
          </w:p>
        </w:tc>
      </w:tr>
    </w:tbl>
    <w:p w14:paraId="004A8554">
      <w:pPr>
        <w:pStyle w:val="11"/>
        <w:widowControl/>
        <w:spacing w:before="0" w:beforeAutospacing="0" w:after="226" w:afterAutospacing="0" w:line="504" w:lineRule="atLeast"/>
        <w:rPr>
          <w:rFonts w:ascii="仿宋" w:hAnsi="仿宋" w:eastAsia="仿宋" w:cs="仿宋"/>
          <w:sz w:val="28"/>
          <w:szCs w:val="28"/>
        </w:rPr>
      </w:pPr>
    </w:p>
    <w:p w14:paraId="530EB142">
      <w:pPr>
        <w:rPr>
          <w:rFonts w:hint="eastAsia" w:ascii="宋体" w:hAnsi="宋体" w:cs="宋体"/>
          <w:kern w:val="0"/>
          <w:sz w:val="24"/>
          <w:szCs w:val="24"/>
          <w:lang w:val="en-US" w:eastAsia="zh-CN"/>
        </w:rPr>
      </w:pPr>
    </w:p>
    <w:p w14:paraId="0B906E2A">
      <w:pPr>
        <w:pStyle w:val="4"/>
        <w:rPr>
          <w:rFonts w:hint="eastAsia" w:ascii="宋体" w:hAnsi="宋体" w:cs="宋体"/>
          <w:kern w:val="0"/>
          <w:sz w:val="24"/>
          <w:szCs w:val="24"/>
          <w:lang w:val="en-US" w:eastAsia="zh-CN"/>
        </w:rPr>
      </w:pPr>
    </w:p>
    <w:p w14:paraId="659F2F6B">
      <w:pPr>
        <w:rPr>
          <w:rFonts w:hint="eastAsia" w:ascii="宋体" w:hAnsi="宋体" w:cs="宋体"/>
          <w:kern w:val="0"/>
          <w:sz w:val="24"/>
          <w:szCs w:val="24"/>
          <w:lang w:val="en-US" w:eastAsia="zh-CN"/>
        </w:rPr>
      </w:pPr>
      <w:r>
        <w:rPr>
          <w:rFonts w:hint="eastAsia" w:ascii="宋体" w:hAnsi="宋体" w:cs="宋体"/>
          <w:kern w:val="0"/>
          <w:sz w:val="24"/>
          <w:szCs w:val="24"/>
          <w:lang w:val="en-US" w:eastAsia="zh-CN"/>
        </w:rPr>
        <w:t>附件：</w:t>
      </w:r>
    </w:p>
    <w:p w14:paraId="33695082">
      <w:pPr>
        <w:rPr>
          <w:rFonts w:ascii="仿宋" w:hAnsi="仿宋" w:eastAsia="仿宋" w:cs="仿宋"/>
          <w:color w:val="auto"/>
          <w:sz w:val="28"/>
          <w:szCs w:val="28"/>
          <w:highlight w:val="none"/>
        </w:rPr>
      </w:pPr>
      <w:r>
        <w:rPr>
          <w:rFonts w:hint="eastAsia" w:ascii="宋体" w:hAnsi="宋体" w:cs="宋体"/>
          <w:kern w:val="0"/>
          <w:sz w:val="24"/>
          <w:szCs w:val="24"/>
          <w:lang w:val="en-US" w:eastAsia="zh-CN"/>
        </w:rPr>
        <w:t>一、家具清单一览表</w:t>
      </w:r>
      <w:r>
        <w:rPr>
          <w:rFonts w:hint="eastAsia" w:ascii="宋体" w:hAnsi="宋体" w:cs="宋体"/>
          <w:kern w:val="0"/>
          <w:sz w:val="24"/>
          <w:szCs w:val="24"/>
        </w:rPr>
        <w:t>（允许成品</w:t>
      </w:r>
      <w:r>
        <w:rPr>
          <w:rFonts w:hint="eastAsia" w:ascii="宋体" w:hAnsi="宋体" w:cs="宋体"/>
          <w:kern w:val="0"/>
          <w:sz w:val="24"/>
          <w:szCs w:val="24"/>
          <w:lang w:val="en-US" w:eastAsia="zh-CN"/>
        </w:rPr>
        <w:t>外观尺寸</w:t>
      </w:r>
      <w:r>
        <w:rPr>
          <w:rFonts w:hint="eastAsia" w:ascii="宋体" w:hAnsi="宋体" w:cs="宋体"/>
          <w:kern w:val="0"/>
          <w:sz w:val="24"/>
          <w:szCs w:val="24"/>
        </w:rPr>
        <w:t>偏差±20MM；配件</w:t>
      </w:r>
      <w:r>
        <w:rPr>
          <w:rFonts w:hint="eastAsia" w:ascii="宋体" w:hAnsi="宋体" w:cs="宋体"/>
          <w:kern w:val="0"/>
          <w:sz w:val="24"/>
          <w:szCs w:val="24"/>
          <w:lang w:val="en-US" w:eastAsia="zh-CN"/>
        </w:rPr>
        <w:t>外观尺寸</w:t>
      </w:r>
      <w:r>
        <w:rPr>
          <w:rFonts w:hint="eastAsia" w:ascii="宋体" w:hAnsi="宋体" w:cs="宋体"/>
          <w:kern w:val="0"/>
          <w:sz w:val="24"/>
          <w:szCs w:val="24"/>
        </w:rPr>
        <w:t>偏差±2MM）</w:t>
      </w:r>
    </w:p>
    <w:tbl>
      <w:tblPr>
        <w:tblStyle w:val="12"/>
        <w:tblpPr w:leftFromText="180" w:rightFromText="180" w:vertAnchor="text" w:horzAnchor="page" w:tblpX="381" w:tblpY="360"/>
        <w:tblOverlap w:val="never"/>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689"/>
        <w:gridCol w:w="1119"/>
        <w:gridCol w:w="608"/>
        <w:gridCol w:w="640"/>
        <w:gridCol w:w="6081"/>
      </w:tblGrid>
      <w:tr w14:paraId="1D06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44" w:type="dxa"/>
            <w:vAlign w:val="center"/>
          </w:tcPr>
          <w:p w14:paraId="5DFE53D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序号</w:t>
            </w:r>
          </w:p>
        </w:tc>
        <w:tc>
          <w:tcPr>
            <w:tcW w:w="1689" w:type="dxa"/>
            <w:vAlign w:val="center"/>
          </w:tcPr>
          <w:p w14:paraId="48400F75">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图样</w:t>
            </w:r>
          </w:p>
        </w:tc>
        <w:tc>
          <w:tcPr>
            <w:tcW w:w="1119" w:type="dxa"/>
            <w:vAlign w:val="center"/>
          </w:tcPr>
          <w:p w14:paraId="27F774E6">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规格</w:t>
            </w:r>
          </w:p>
        </w:tc>
        <w:tc>
          <w:tcPr>
            <w:tcW w:w="608" w:type="dxa"/>
            <w:vAlign w:val="center"/>
          </w:tcPr>
          <w:p w14:paraId="09552EEE">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单位</w:t>
            </w:r>
          </w:p>
        </w:tc>
        <w:tc>
          <w:tcPr>
            <w:tcW w:w="640" w:type="dxa"/>
            <w:vAlign w:val="center"/>
          </w:tcPr>
          <w:p w14:paraId="619B3748">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数量</w:t>
            </w:r>
          </w:p>
        </w:tc>
        <w:tc>
          <w:tcPr>
            <w:tcW w:w="6081" w:type="dxa"/>
            <w:vAlign w:val="center"/>
          </w:tcPr>
          <w:p w14:paraId="2C9C52F5">
            <w:pPr>
              <w:widowControl/>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备注</w:t>
            </w:r>
          </w:p>
        </w:tc>
      </w:tr>
      <w:tr w14:paraId="1909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5" w:hRule="atLeast"/>
        </w:trPr>
        <w:tc>
          <w:tcPr>
            <w:tcW w:w="744" w:type="dxa"/>
            <w:vAlign w:val="center"/>
          </w:tcPr>
          <w:p w14:paraId="1214DD12">
            <w:pPr>
              <w:widowControl/>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1</w:t>
            </w:r>
          </w:p>
        </w:tc>
        <w:tc>
          <w:tcPr>
            <w:tcW w:w="1689" w:type="dxa"/>
            <w:vAlign w:val="center"/>
          </w:tcPr>
          <w:p w14:paraId="20DC27EB">
            <w:pPr>
              <w:bidi w:val="0"/>
              <w:jc w:val="center"/>
              <w:rPr>
                <w:rFonts w:hint="eastAsia"/>
                <w:lang w:val="en-US" w:eastAsia="zh-CN"/>
              </w:rPr>
            </w:pPr>
            <w:r>
              <w:drawing>
                <wp:anchor distT="0" distB="0" distL="114300" distR="114300" simplePos="0" relativeHeight="251659264" behindDoc="0" locked="0" layoutInCell="1" allowOverlap="1">
                  <wp:simplePos x="0" y="0"/>
                  <wp:positionH relativeFrom="column">
                    <wp:posOffset>269875</wp:posOffset>
                  </wp:positionH>
                  <wp:positionV relativeFrom="paragraph">
                    <wp:posOffset>1479550</wp:posOffset>
                  </wp:positionV>
                  <wp:extent cx="520065" cy="696595"/>
                  <wp:effectExtent l="0" t="0" r="13335" b="444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520065" cy="696595"/>
                          </a:xfrm>
                          <a:prstGeom prst="rect">
                            <a:avLst/>
                          </a:prstGeom>
                          <a:noFill/>
                          <a:ln w="9525">
                            <a:noFill/>
                          </a:ln>
                        </pic:spPr>
                      </pic:pic>
                    </a:graphicData>
                  </a:graphic>
                </wp:anchor>
              </w:drawing>
            </w:r>
            <w:r>
              <w:drawing>
                <wp:inline distT="0" distB="0" distL="114300" distR="114300">
                  <wp:extent cx="1021080" cy="1272540"/>
                  <wp:effectExtent l="0" t="0" r="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l="6008" t="14429" b="5311"/>
                          <a:stretch>
                            <a:fillRect/>
                          </a:stretch>
                        </pic:blipFill>
                        <pic:spPr>
                          <a:xfrm flipH="1">
                            <a:off x="0" y="0"/>
                            <a:ext cx="1021080" cy="1272540"/>
                          </a:xfrm>
                          <a:prstGeom prst="rect">
                            <a:avLst/>
                          </a:prstGeom>
                          <a:noFill/>
                          <a:ln w="9525">
                            <a:noFill/>
                          </a:ln>
                        </pic:spPr>
                      </pic:pic>
                    </a:graphicData>
                  </a:graphic>
                </wp:inline>
              </w:drawing>
            </w:r>
          </w:p>
        </w:tc>
        <w:tc>
          <w:tcPr>
            <w:tcW w:w="1119" w:type="dxa"/>
            <w:vAlign w:val="center"/>
          </w:tcPr>
          <w:p w14:paraId="54DAC4A9">
            <w:pPr>
              <w:widowControl/>
              <w:jc w:val="center"/>
              <w:textAlignment w:val="center"/>
              <w:rPr>
                <w:rFonts w:hint="default" w:ascii="宋体" w:hAnsi="宋体" w:eastAsia="宋体" w:cs="宋体"/>
                <w:i w:val="0"/>
                <w:iCs w:val="0"/>
                <w:color w:val="000000"/>
                <w:sz w:val="22"/>
                <w:szCs w:val="22"/>
                <w:u w:val="none"/>
                <w:lang w:val="en-US"/>
              </w:rPr>
            </w:pPr>
            <w:r>
              <w:rPr>
                <w:rFonts w:hint="default" w:ascii="宋体" w:hAnsi="宋体" w:eastAsia="宋体" w:cs="宋体"/>
                <w:i w:val="0"/>
                <w:iCs w:val="0"/>
                <w:color w:val="000000"/>
                <w:sz w:val="22"/>
                <w:szCs w:val="22"/>
                <w:u w:val="none"/>
                <w:lang w:val="en-US"/>
              </w:rPr>
              <w:t>座椅扶手中心距：580mm，背高：1000mm，座高：470mm，座深：440mm</w:t>
            </w:r>
          </w:p>
        </w:tc>
        <w:tc>
          <w:tcPr>
            <w:tcW w:w="608" w:type="dxa"/>
            <w:vAlign w:val="center"/>
          </w:tcPr>
          <w:p w14:paraId="36D6C793">
            <w:pPr>
              <w:widowControl/>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位</w:t>
            </w:r>
          </w:p>
        </w:tc>
        <w:tc>
          <w:tcPr>
            <w:tcW w:w="640" w:type="dxa"/>
            <w:vAlign w:val="center"/>
          </w:tcPr>
          <w:p w14:paraId="1A209A8B">
            <w:pPr>
              <w:widowControl/>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397</w:t>
            </w:r>
          </w:p>
        </w:tc>
        <w:tc>
          <w:tcPr>
            <w:tcW w:w="6081" w:type="dxa"/>
            <w:vAlign w:val="center"/>
          </w:tcPr>
          <w:p w14:paraId="774B10F8">
            <w:pPr>
              <w:widowControl/>
              <w:numPr>
                <w:ilvl w:val="0"/>
                <w:numId w:val="0"/>
              </w:numPr>
              <w:jc w:val="left"/>
              <w:textAlignment w:val="center"/>
              <w:rPr>
                <w:rFonts w:hint="default" w:ascii="宋体" w:hAnsi="宋体" w:eastAsia="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1、</w:t>
            </w:r>
            <w:r>
              <w:rPr>
                <w:rFonts w:hint="default" w:ascii="宋体" w:hAnsi="宋体" w:eastAsia="宋体" w:cs="宋体"/>
                <w:i w:val="0"/>
                <w:iCs w:val="0"/>
                <w:color w:val="000000"/>
                <w:kern w:val="0"/>
                <w:sz w:val="18"/>
                <w:szCs w:val="18"/>
                <w:u w:val="none"/>
                <w:lang w:val="en-US" w:eastAsia="zh-CN"/>
              </w:rPr>
              <w:t>座位：采用内藏阻尼器慢自动回复装置，使椅座能自动复位。内置铁框，结实耐用。回位挡铁处加静音密封胶圈，使座包回到终点位置时，没有撞击声音。无杂音，零故障。</w:t>
            </w:r>
          </w:p>
          <w:p w14:paraId="3D77F181">
            <w:pPr>
              <w:widowControl/>
              <w:numPr>
                <w:ilvl w:val="0"/>
                <w:numId w:val="0"/>
              </w:numPr>
              <w:ind w:leftChars="0"/>
              <w:jc w:val="left"/>
              <w:textAlignment w:val="center"/>
              <w:rPr>
                <w:rFonts w:hint="eastAsia" w:ascii="宋体" w:hAnsi="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2、</w:t>
            </w:r>
            <w:r>
              <w:rPr>
                <w:rFonts w:hint="default" w:ascii="宋体" w:hAnsi="宋体" w:eastAsia="宋体" w:cs="宋体"/>
                <w:i w:val="0"/>
                <w:iCs w:val="0"/>
                <w:color w:val="000000"/>
                <w:kern w:val="0"/>
                <w:sz w:val="18"/>
                <w:szCs w:val="18"/>
                <w:u w:val="none"/>
                <w:lang w:val="en-US" w:eastAsia="zh-CN"/>
              </w:rPr>
              <w:t>脚架：采用优质冷轧钢冲压成型，扶手框不低于1.5mm厚度的冷轧钢，表面采用静电粉沫喷涂防锈处理焊接成型。上架采用内插框，美观高档，防止侧板脱落，实用性极强；使座椅固定于地板上</w:t>
            </w:r>
            <w:r>
              <w:rPr>
                <w:rFonts w:hint="eastAsia" w:ascii="宋体" w:hAnsi="宋体" w:cs="宋体"/>
                <w:i w:val="0"/>
                <w:iCs w:val="0"/>
                <w:color w:val="000000"/>
                <w:kern w:val="0"/>
                <w:sz w:val="18"/>
                <w:szCs w:val="18"/>
                <w:u w:val="none"/>
                <w:lang w:val="en-US" w:eastAsia="zh-CN"/>
              </w:rPr>
              <w:t>。</w:t>
            </w:r>
          </w:p>
          <w:p w14:paraId="6E620818">
            <w:pPr>
              <w:widowControl/>
              <w:numPr>
                <w:ilvl w:val="0"/>
                <w:numId w:val="0"/>
              </w:numPr>
              <w:ind w:leftChars="0"/>
              <w:jc w:val="left"/>
              <w:textAlignment w:val="center"/>
              <w:rPr>
                <w:rFonts w:hint="default" w:ascii="宋体" w:hAnsi="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3、</w:t>
            </w:r>
            <w:r>
              <w:rPr>
                <w:rFonts w:hint="default" w:ascii="宋体" w:hAnsi="宋体" w:cs="宋体"/>
                <w:i w:val="0"/>
                <w:iCs w:val="0"/>
                <w:color w:val="000000"/>
                <w:kern w:val="0"/>
                <w:sz w:val="18"/>
                <w:szCs w:val="18"/>
                <w:u w:val="none"/>
                <w:lang w:val="en-US" w:eastAsia="zh-CN"/>
              </w:rPr>
              <w:t>座背海棉：背海棉长度为720mm，宽度为480mm，头顶厚度为100mm，海棉密度为50KG/M3。座海棉：采用高密度冷发泡PU定型海棉。座海棉长度为510mm，宽度为460mm，厚度为140mm，海棉密度为55KG/M3。</w:t>
            </w:r>
          </w:p>
          <w:p w14:paraId="18986F05">
            <w:pPr>
              <w:widowControl/>
              <w:numPr>
                <w:ilvl w:val="0"/>
                <w:numId w:val="0"/>
              </w:numPr>
              <w:ind w:leftChars="0"/>
              <w:jc w:val="left"/>
              <w:textAlignment w:val="center"/>
              <w:rPr>
                <w:rFonts w:hint="default" w:ascii="宋体" w:hAnsi="宋体" w:cs="宋体"/>
                <w:b w:val="0"/>
                <w:bCs w:val="0"/>
                <w:i w:val="0"/>
                <w:iCs w:val="0"/>
                <w:color w:val="000000"/>
                <w:kern w:val="0"/>
                <w:sz w:val="18"/>
                <w:szCs w:val="18"/>
                <w:u w:val="none"/>
                <w:lang w:val="en-US" w:eastAsia="zh-CN"/>
              </w:rPr>
            </w:pPr>
            <w:r>
              <w:rPr>
                <w:rFonts w:hint="default" w:ascii="宋体" w:hAnsi="宋体" w:cs="宋体"/>
                <w:i w:val="0"/>
                <w:iCs w:val="0"/>
                <w:color w:val="000000"/>
                <w:kern w:val="0"/>
                <w:sz w:val="18"/>
                <w:szCs w:val="18"/>
                <w:u w:val="none"/>
                <w:lang w:val="en-US" w:eastAsia="zh-CN"/>
              </w:rPr>
              <w:t>4、面料采用耐磨耐脏的高档西皮或PU西皮，抗污，防褪色。（有多种颜色可供选择）。</w:t>
            </w:r>
            <w:r>
              <w:rPr>
                <w:rFonts w:hint="default" w:ascii="宋体" w:hAnsi="宋体" w:cs="宋体"/>
                <w:b w:val="0"/>
                <w:bCs w:val="0"/>
                <w:i w:val="0"/>
                <w:iCs w:val="0"/>
                <w:color w:val="000000"/>
                <w:kern w:val="0"/>
                <w:sz w:val="18"/>
                <w:szCs w:val="18"/>
                <w:u w:val="none"/>
                <w:lang w:val="en-US" w:eastAsia="zh-CN"/>
              </w:rPr>
              <w:t>投标人须提供具有CMA或CNAS标识认证的检测机构出具的西皮或PU西皮的抽样检测报告复印件，并附检测报告查询截图注明网址。检验依据为：QB/T 5250-2018《皮革 色牢度试验 加速老化条件下颜色的变化》、QB/T 4199-2011《皮革 防霉性能测试方法》和QB/T 2712-2005《皮革 物理和机械试验 粒面强度和伸展高度的测定:球形崩裂试验》。</w:t>
            </w:r>
            <w:r>
              <w:rPr>
                <w:rFonts w:hint="default" w:ascii="宋体" w:hAnsi="宋体" w:cs="宋体"/>
                <w:b w:val="0"/>
                <w:bCs w:val="0"/>
                <w:i w:val="0"/>
                <w:iCs w:val="0"/>
                <w:color w:val="000000"/>
                <w:kern w:val="0"/>
                <w:sz w:val="18"/>
                <w:szCs w:val="18"/>
                <w:highlight w:val="none"/>
                <w:u w:val="none"/>
                <w:lang w:val="en-US" w:eastAsia="zh-CN"/>
              </w:rPr>
              <w:t>检验内容</w:t>
            </w:r>
            <w:r>
              <w:rPr>
                <w:rFonts w:hint="eastAsia" w:ascii="宋体" w:hAnsi="宋体" w:cs="宋体"/>
                <w:b w:val="0"/>
                <w:bCs w:val="0"/>
                <w:i w:val="0"/>
                <w:iCs w:val="0"/>
                <w:color w:val="000000"/>
                <w:kern w:val="0"/>
                <w:sz w:val="18"/>
                <w:szCs w:val="18"/>
                <w:highlight w:val="none"/>
                <w:u w:val="none"/>
                <w:lang w:val="en-US" w:eastAsia="zh-CN"/>
              </w:rPr>
              <w:t>至少</w:t>
            </w:r>
            <w:r>
              <w:rPr>
                <w:rFonts w:hint="default" w:ascii="宋体" w:hAnsi="宋体" w:cs="宋体"/>
                <w:b w:val="0"/>
                <w:bCs w:val="0"/>
                <w:i w:val="0"/>
                <w:iCs w:val="0"/>
                <w:color w:val="000000"/>
                <w:kern w:val="0"/>
                <w:sz w:val="18"/>
                <w:szCs w:val="18"/>
                <w:highlight w:val="none"/>
                <w:u w:val="none"/>
                <w:lang w:val="en-US" w:eastAsia="zh-CN"/>
              </w:rPr>
              <w:t>包含</w:t>
            </w:r>
            <w:r>
              <w:rPr>
                <w:rFonts w:hint="default" w:ascii="宋体" w:hAnsi="宋体" w:cs="宋体"/>
                <w:b w:val="0"/>
                <w:bCs w:val="0"/>
                <w:i w:val="0"/>
                <w:iCs w:val="0"/>
                <w:color w:val="000000"/>
                <w:kern w:val="0"/>
                <w:sz w:val="18"/>
                <w:szCs w:val="18"/>
                <w:u w:val="none"/>
                <w:lang w:val="en-US" w:eastAsia="zh-CN"/>
              </w:rPr>
              <w:t>：①游离甲醛未检出，②革身应平整、柔软、丰满有弹性；正面革应不裂面、无管皱,主要部位不得松面。③气味≤1级；④挥发性有机物（VOC）未检出；⑤耐光性≥5级；⑥摩擦色牢度（干擦500次4-5级、湿擦250次4-5级、碱性汗液80次4-5级）；⑦耐清洁性能中性皂液(体积分数为0.5%的蒸馏水)，沾色4-5级，变色4-5级；⑧金黄色葡萄球、单核增生李斯特氏菌：抗细菌性能-抗菌率均不小于99.9%，抑菌圈环宽不大于5mm；经马丁达尔法摩擦5000次后抗菌率均不小于99.9%；⑨表面（甲型流感病毒）抗病毒活性值，抗病毒活性率均符合要求标准；⑩皮革五氯苯酚未检出。备注：①检测报告中受检单位须与投标人或所投产品的品牌制造商一致；②报告中检验项内容、产品名称、依据及数值等有不相符合的或未提供报告的按无效响应处理。（原件备查）</w:t>
            </w:r>
          </w:p>
          <w:p w14:paraId="7ACE1C1D">
            <w:pPr>
              <w:widowControl/>
              <w:numPr>
                <w:ilvl w:val="0"/>
                <w:numId w:val="0"/>
              </w:numPr>
              <w:ind w:leftChars="0"/>
              <w:jc w:val="left"/>
              <w:textAlignment w:val="center"/>
              <w:rPr>
                <w:rFonts w:hint="default" w:ascii="宋体" w:hAnsi="宋体" w:cs="宋体"/>
                <w:i w:val="0"/>
                <w:iCs w:val="0"/>
                <w:color w:val="000000"/>
                <w:kern w:val="0"/>
                <w:sz w:val="18"/>
                <w:szCs w:val="18"/>
                <w:u w:val="none"/>
                <w:lang w:val="en-US" w:eastAsia="zh-CN"/>
              </w:rPr>
            </w:pPr>
            <w:r>
              <w:rPr>
                <w:rFonts w:hint="default" w:ascii="宋体" w:hAnsi="宋体" w:cs="宋体"/>
                <w:i w:val="0"/>
                <w:iCs w:val="0"/>
                <w:color w:val="000000"/>
                <w:kern w:val="0"/>
                <w:sz w:val="18"/>
                <w:szCs w:val="18"/>
                <w:u w:val="none"/>
                <w:lang w:val="en-US" w:eastAsia="zh-CN"/>
              </w:rPr>
              <w:t>5、背内板：采用优质夹板经模具压弯成型。外型成弧型，美观大方具有曲线美。尺寸规格：长度为690 mm，宽度为425mm，厚度为10mm。背外板：背板材料七层硬木成型板，经高温周波，高压制成，承托力强，耐冲击，抗变形，尺寸规格：长度为765 mm，宽度为500 mm，厚度为16mm。椅座：七层硬木成型板，经高温周波，高压制成，承托力强，耐冲击，抗变形，附独特蜂窝式吸音气孔，整体吸音率0.5，全场能在0.1秒内消除回音，保证座椅的良好透气性能和整个会场无噪音，尺寸规格：长度为460mm，宽度为430 mm，厚度为15mm。膨胀螺丝长度不低于12CM，配套膨胀管，使座椅与地面牢固紧锁。采用不低于9圈的直径为220mm的弹力弹簧。座位采用内藏阻尼器慢自动回复装置，使椅座能自动复位。内置铁框，结实耐用。回位挡铁归位出加静音密封胶圈，使的座包回到终点位置时，没有撞击声音，无杂音，零故障。座位两边采用加强型连接结构，在两背角码间装有加强横管，座包后方装有防震胶垫，使座在受外力作用与背相碰撞时受力点不在海绵上，而在座包两侧的角码上，更加耐用、牢固、更舒适；</w:t>
            </w:r>
          </w:p>
          <w:p w14:paraId="496E77D8">
            <w:pPr>
              <w:widowControl/>
              <w:numPr>
                <w:ilvl w:val="0"/>
                <w:numId w:val="0"/>
              </w:numPr>
              <w:ind w:leftChars="0"/>
              <w:jc w:val="left"/>
              <w:textAlignment w:val="center"/>
              <w:rPr>
                <w:rFonts w:hint="default" w:ascii="宋体" w:hAnsi="宋体" w:cs="宋体"/>
                <w:i w:val="0"/>
                <w:iCs w:val="0"/>
                <w:color w:val="000000"/>
                <w:kern w:val="0"/>
                <w:sz w:val="18"/>
                <w:szCs w:val="18"/>
                <w:u w:val="none"/>
                <w:lang w:val="en-US" w:eastAsia="zh-CN"/>
              </w:rPr>
            </w:pPr>
            <w:r>
              <w:rPr>
                <w:rFonts w:hint="default" w:ascii="宋体" w:hAnsi="宋体" w:cs="宋体"/>
                <w:i w:val="0"/>
                <w:iCs w:val="0"/>
                <w:color w:val="000000"/>
                <w:kern w:val="0"/>
                <w:sz w:val="18"/>
                <w:szCs w:val="18"/>
                <w:u w:val="none"/>
                <w:lang w:val="en-US" w:eastAsia="zh-CN"/>
              </w:rPr>
              <w:t xml:space="preserve">6、内藏折叠式写字板270mm*240mm*15mm，支架采用实心圆铁支撑材质，可收藏于扶手脚内，写字板面采用三聚氰胺，耐磨耐脏防水，带笔槽内藏折叠式写字板圆铁支架可承重60公斤合理利用使用的空间。采用防火板压铸成型，可折叠，收放自如方便使用 ， 颜色可选。                                                                                                                                                                     5. 扶手面，选用进口橡木实木一次成型.扶手尺寸为：410mm*80mm*25mm， 颜色可选。    </w:t>
            </w:r>
          </w:p>
          <w:p w14:paraId="6B7BDF6B">
            <w:pPr>
              <w:widowControl/>
              <w:numPr>
                <w:ilvl w:val="0"/>
                <w:numId w:val="0"/>
              </w:numPr>
              <w:ind w:leftChars="0"/>
              <w:jc w:val="left"/>
              <w:textAlignment w:val="center"/>
              <w:rPr>
                <w:rFonts w:hint="default" w:ascii="宋体" w:hAnsi="宋体" w:cs="宋体"/>
                <w:b w:val="0"/>
                <w:bCs w:val="0"/>
                <w:i w:val="0"/>
                <w:iCs w:val="0"/>
                <w:color w:val="000000"/>
                <w:kern w:val="0"/>
                <w:sz w:val="18"/>
                <w:szCs w:val="18"/>
                <w:highlight w:val="none"/>
                <w:u w:val="none"/>
                <w:lang w:val="en-US" w:eastAsia="zh-CN"/>
              </w:rPr>
            </w:pPr>
            <w:r>
              <w:rPr>
                <w:rFonts w:hint="default" w:ascii="宋体" w:hAnsi="宋体" w:cs="宋体"/>
                <w:i w:val="0"/>
                <w:iCs w:val="0"/>
                <w:color w:val="000000"/>
                <w:kern w:val="0"/>
                <w:sz w:val="18"/>
                <w:szCs w:val="18"/>
                <w:u w:val="none"/>
                <w:lang w:val="en-US" w:eastAsia="zh-CN"/>
              </w:rPr>
              <w:t>7. 按照国家有关标准生产，各种钢制骨架表面经酸洗除锈，碱洗除油，磷化烘干等工艺，采用静电粉末喷涂（哑光黑或灰色）；铁架壁厚均为不小于2.0mm，底脚全部焊接口平直、牢固、无焊疵，焊接处打磨平整，各构件平直，横竖条搭接垂直，插口吻合，底脚与地面用膨胀螺丝紧固。装配平整、牢靠、稳定。 油漆：采用环保水性清底漆、水性实色漆，五遍底漆三遍面漆，无颗粒，无气泡，无渣点，颜色均匀，硬度高。</w:t>
            </w:r>
            <w:r>
              <w:rPr>
                <w:rFonts w:hint="default" w:ascii="宋体" w:hAnsi="宋体" w:cs="宋体"/>
                <w:b w:val="0"/>
                <w:bCs w:val="0"/>
                <w:i w:val="0"/>
                <w:iCs w:val="0"/>
                <w:color w:val="000000"/>
                <w:kern w:val="0"/>
                <w:sz w:val="18"/>
                <w:szCs w:val="18"/>
                <w:highlight w:val="none"/>
                <w:u w:val="none"/>
                <w:lang w:val="en-US" w:eastAsia="zh-CN"/>
              </w:rPr>
              <w:t>投标人须提供具有CMA或CNAS标识认证的检测机构出具的油漆抽样检测报告复印件，并附检测报告查询截图注明网址。检验依据为：GB 18581-2020《木器涂料中有害物质限量》、GB/T6753.3-1986《涂料贮存稳定性试验方法》、HJ 2537-2014《环境标志产品技术要求 水性涂料》、HG/T 3950-2007《抗菌涂料》、GB/T 23983-2009《木器涂料耐黄变性测定法》、GB/T 31588.1-2015《色漆和清漆 耐循环腐蚀环境的测定 第1部分：湿(盐雾)/干燥/湿气》、GB/T 21608-2008《化学品皮肤致敏试验方法》。检验内容</w:t>
            </w:r>
            <w:r>
              <w:rPr>
                <w:rFonts w:hint="eastAsia" w:ascii="宋体" w:hAnsi="宋体" w:cs="宋体"/>
                <w:b w:val="0"/>
                <w:bCs w:val="0"/>
                <w:i w:val="0"/>
                <w:iCs w:val="0"/>
                <w:color w:val="000000"/>
                <w:kern w:val="0"/>
                <w:sz w:val="18"/>
                <w:szCs w:val="18"/>
                <w:highlight w:val="none"/>
                <w:u w:val="none"/>
                <w:lang w:val="en-US" w:eastAsia="zh-CN"/>
              </w:rPr>
              <w:t>至少</w:t>
            </w:r>
            <w:r>
              <w:rPr>
                <w:rFonts w:hint="default" w:ascii="宋体" w:hAnsi="宋体" w:cs="宋体"/>
                <w:b w:val="0"/>
                <w:bCs w:val="0"/>
                <w:i w:val="0"/>
                <w:iCs w:val="0"/>
                <w:color w:val="000000"/>
                <w:kern w:val="0"/>
                <w:sz w:val="18"/>
                <w:szCs w:val="18"/>
                <w:highlight w:val="none"/>
                <w:u w:val="none"/>
                <w:lang w:val="en-US" w:eastAsia="zh-CN"/>
              </w:rPr>
              <w:t>包含：①甲醛含量未检出；乙二醇醚及醚酯总和含量未检出；烷基酚聚氧乙烯醚总和含量未检出；总铅（Pb）含量未检出；可溶性重金属含量（镉含量；铬含量；汞含量）未检出；②贮存稳定性（50℃,30d）检验合格；③挥发性有机物VOC≤20g/L；④白色葡萄球菌、单核增生李斯特氏菌、丙酸杆菌、奇异变形杆菌；抗细菌率≥99.5%；⑤耐黄变性168h，△E*≤1；⑥耐循环腐蚀环境的测定：720h（湿(盐雾)/干燥/湿气）：气泡等级0级，生锈等级Ri0级，剥落等级0级、粉化等级0级。⑦皮肤致敏反应试验检验合格。备注：①检测报告中受检单位须与投标人或所投产品的品牌制造商一致；②报告中检验项内容、产品名称、依据及数值等有不相符合的或未提供报告的按无效响应处理。（原件备查）</w:t>
            </w:r>
          </w:p>
          <w:p w14:paraId="215506F1">
            <w:pPr>
              <w:widowControl/>
              <w:numPr>
                <w:ilvl w:val="0"/>
                <w:numId w:val="0"/>
              </w:numPr>
              <w:ind w:leftChars="0"/>
              <w:jc w:val="left"/>
              <w:textAlignment w:val="center"/>
              <w:rPr>
                <w:rFonts w:hint="default" w:ascii="宋体" w:hAnsi="宋体" w:cs="宋体"/>
                <w:i w:val="0"/>
                <w:iCs w:val="0"/>
                <w:color w:val="000000"/>
                <w:kern w:val="0"/>
                <w:sz w:val="18"/>
                <w:szCs w:val="18"/>
                <w:u w:val="none"/>
                <w:lang w:val="en-US" w:eastAsia="zh-CN"/>
              </w:rPr>
            </w:pPr>
            <w:r>
              <w:rPr>
                <w:rFonts w:hint="default" w:ascii="宋体" w:hAnsi="宋体" w:cs="宋体"/>
                <w:i w:val="0"/>
                <w:iCs w:val="0"/>
                <w:color w:val="000000"/>
                <w:kern w:val="0"/>
                <w:sz w:val="18"/>
                <w:szCs w:val="18"/>
                <w:u w:val="none"/>
                <w:lang w:val="en-US" w:eastAsia="zh-CN"/>
              </w:rPr>
              <w:t xml:space="preserve">8、每个座位均配一个工程塑材质水杯架                       </w:t>
            </w:r>
          </w:p>
        </w:tc>
      </w:tr>
    </w:tbl>
    <w:p w14:paraId="0B4C5682">
      <w:pPr>
        <w:tabs>
          <w:tab w:val="right" w:pos="9723"/>
        </w:tabs>
        <w:spacing w:line="400" w:lineRule="exact"/>
        <w:rPr>
          <w:rFonts w:ascii="宋体" w:hAnsi="宋体"/>
          <w:sz w:val="24"/>
          <w:szCs w:val="24"/>
        </w:rPr>
      </w:pPr>
      <w:r>
        <w:rPr>
          <w:rFonts w:hint="eastAsia"/>
          <w:lang w:val="en-US" w:eastAsia="zh-CN"/>
        </w:rPr>
        <w:t>二、</w:t>
      </w:r>
      <w:r>
        <w:rPr>
          <w:rFonts w:hint="eastAsia" w:ascii="宋体" w:hAnsi="宋体"/>
          <w:b/>
          <w:kern w:val="0"/>
          <w:sz w:val="24"/>
          <w:szCs w:val="24"/>
        </w:rPr>
        <w:t>样品规定：</w:t>
      </w:r>
    </w:p>
    <w:p w14:paraId="04ED3BBF">
      <w:pPr>
        <w:tabs>
          <w:tab w:val="right" w:pos="9723"/>
        </w:tabs>
        <w:spacing w:line="400" w:lineRule="exact"/>
        <w:ind w:left="-44" w:leftChars="-21"/>
        <w:rPr>
          <w:rFonts w:hint="eastAsia" w:ascii="宋体" w:hAnsi="宋体" w:cs="宋体"/>
          <w:b/>
          <w:bCs/>
          <w:kern w:val="0"/>
          <w:sz w:val="24"/>
          <w:szCs w:val="24"/>
        </w:rPr>
      </w:pPr>
      <w:r>
        <w:rPr>
          <w:rFonts w:hint="eastAsia" w:ascii="宋体" w:hAnsi="宋体"/>
          <w:b/>
          <w:kern w:val="0"/>
          <w:sz w:val="24"/>
          <w:szCs w:val="24"/>
        </w:rPr>
        <w:t>投标人须必须在招标文件规定的时间内按照招标文件要求提供</w:t>
      </w:r>
      <w:r>
        <w:rPr>
          <w:rFonts w:hint="eastAsia" w:ascii="宋体" w:hAnsi="宋体" w:cs="宋体"/>
          <w:b/>
          <w:bCs/>
          <w:kern w:val="0"/>
          <w:sz w:val="24"/>
          <w:szCs w:val="24"/>
          <w:lang w:val="en-US" w:eastAsia="zh-CN"/>
        </w:rPr>
        <w:t>样品</w:t>
      </w:r>
      <w:r>
        <w:rPr>
          <w:rFonts w:hint="eastAsia" w:ascii="宋体" w:hAnsi="宋体" w:cs="宋体"/>
          <w:b/>
          <w:bCs/>
          <w:kern w:val="0"/>
          <w:sz w:val="24"/>
          <w:szCs w:val="24"/>
        </w:rPr>
        <w:t>：</w:t>
      </w:r>
    </w:p>
    <w:p w14:paraId="34F01F48">
      <w:pPr>
        <w:tabs>
          <w:tab w:val="left" w:pos="0"/>
        </w:tabs>
        <w:adjustRightInd w:val="0"/>
        <w:spacing w:line="300" w:lineRule="exact"/>
        <w:rPr>
          <w:rFonts w:cs="宋体"/>
          <w:b/>
          <w:bCs/>
          <w:sz w:val="24"/>
        </w:rPr>
      </w:pPr>
      <w:r>
        <w:rPr>
          <w:rFonts w:hint="eastAsia" w:cs="宋体"/>
          <w:b/>
          <w:bCs/>
          <w:sz w:val="24"/>
          <w:lang w:val="en-US" w:eastAsia="zh-CN"/>
        </w:rPr>
        <w:t xml:space="preserve">    </w:t>
      </w:r>
      <w:r>
        <w:rPr>
          <w:rFonts w:hint="eastAsia" w:cs="宋体"/>
          <w:b/>
          <w:bCs/>
          <w:sz w:val="24"/>
        </w:rPr>
        <w:t>成品样品：</w:t>
      </w:r>
    </w:p>
    <w:tbl>
      <w:tblPr>
        <w:tblStyle w:val="12"/>
        <w:tblW w:w="10752"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26"/>
        <w:gridCol w:w="1304"/>
        <w:gridCol w:w="1080"/>
        <w:gridCol w:w="2055"/>
        <w:gridCol w:w="2997"/>
        <w:gridCol w:w="2490"/>
      </w:tblGrid>
      <w:tr w14:paraId="7530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781" w:type="dxa"/>
            <w:tcMar>
              <w:top w:w="0" w:type="dxa"/>
              <w:left w:w="105" w:type="dxa"/>
              <w:bottom w:w="0" w:type="dxa"/>
              <w:right w:w="105" w:type="dxa"/>
            </w:tcMar>
            <w:vAlign w:val="center"/>
          </w:tcPr>
          <w:p w14:paraId="5CA83BC2">
            <w:pPr>
              <w:widowControl/>
              <w:spacing w:before="100" w:beforeAutospacing="1" w:after="100" w:afterAutospacing="1" w:line="300" w:lineRule="exact"/>
              <w:jc w:val="center"/>
              <w:rPr>
                <w:rFonts w:ascii="宋体" w:hAnsi="宋体" w:cs="宋体"/>
                <w:kern w:val="0"/>
                <w:sz w:val="24"/>
              </w:rPr>
            </w:pPr>
            <w:r>
              <w:rPr>
                <w:rFonts w:hint="eastAsia" w:ascii="宋体" w:hAnsi="宋体" w:cs="宋体"/>
                <w:kern w:val="0"/>
                <w:sz w:val="24"/>
              </w:rPr>
              <w:t>序号</w:t>
            </w:r>
          </w:p>
        </w:tc>
        <w:tc>
          <w:tcPr>
            <w:tcW w:w="1274" w:type="dxa"/>
            <w:tcMar>
              <w:top w:w="0" w:type="dxa"/>
              <w:left w:w="105" w:type="dxa"/>
              <w:bottom w:w="0" w:type="dxa"/>
              <w:right w:w="105" w:type="dxa"/>
            </w:tcMar>
            <w:vAlign w:val="center"/>
          </w:tcPr>
          <w:p w14:paraId="084B0949">
            <w:pPr>
              <w:widowControl/>
              <w:spacing w:before="100" w:beforeAutospacing="1" w:after="100" w:afterAutospacing="1" w:line="300" w:lineRule="exact"/>
              <w:jc w:val="center"/>
              <w:rPr>
                <w:rFonts w:ascii="宋体" w:hAnsi="宋体" w:cs="宋体"/>
                <w:kern w:val="0"/>
                <w:sz w:val="24"/>
              </w:rPr>
            </w:pPr>
            <w:r>
              <w:rPr>
                <w:rFonts w:hint="eastAsia" w:ascii="宋体" w:hAnsi="宋体" w:cs="宋体"/>
                <w:kern w:val="0"/>
                <w:sz w:val="24"/>
              </w:rPr>
              <w:t>样品名称</w:t>
            </w:r>
          </w:p>
        </w:tc>
        <w:tc>
          <w:tcPr>
            <w:tcW w:w="1050" w:type="dxa"/>
            <w:tcMar>
              <w:top w:w="0" w:type="dxa"/>
              <w:left w:w="105" w:type="dxa"/>
              <w:bottom w:w="0" w:type="dxa"/>
              <w:right w:w="105" w:type="dxa"/>
            </w:tcMar>
            <w:vAlign w:val="center"/>
          </w:tcPr>
          <w:p w14:paraId="2E7C4A10">
            <w:pPr>
              <w:widowControl/>
              <w:spacing w:before="100" w:beforeAutospacing="1" w:after="100" w:afterAutospacing="1" w:line="300" w:lineRule="exact"/>
              <w:jc w:val="center"/>
              <w:rPr>
                <w:rFonts w:ascii="宋体" w:hAnsi="宋体" w:cs="宋体"/>
                <w:kern w:val="0"/>
                <w:sz w:val="24"/>
              </w:rPr>
            </w:pPr>
            <w:r>
              <w:rPr>
                <w:rFonts w:hint="eastAsia" w:ascii="宋体" w:hAnsi="宋体" w:cs="宋体"/>
                <w:kern w:val="0"/>
                <w:sz w:val="24"/>
              </w:rPr>
              <w:t>数量</w:t>
            </w:r>
          </w:p>
        </w:tc>
        <w:tc>
          <w:tcPr>
            <w:tcW w:w="2025" w:type="dxa"/>
            <w:tcMar>
              <w:top w:w="0" w:type="dxa"/>
              <w:left w:w="105" w:type="dxa"/>
              <w:bottom w:w="0" w:type="dxa"/>
              <w:right w:w="105" w:type="dxa"/>
            </w:tcMar>
            <w:vAlign w:val="center"/>
          </w:tcPr>
          <w:p w14:paraId="1BC8B13C">
            <w:pPr>
              <w:spacing w:before="100" w:beforeAutospacing="1" w:after="100" w:afterAutospacing="1" w:line="300" w:lineRule="exact"/>
              <w:jc w:val="center"/>
              <w:rPr>
                <w:rFonts w:ascii="宋体" w:hAnsi="宋体" w:cs="宋体"/>
                <w:kern w:val="0"/>
                <w:sz w:val="24"/>
              </w:rPr>
            </w:pPr>
            <w:r>
              <w:rPr>
                <w:rFonts w:hint="eastAsia" w:cs="宋体"/>
                <w:color w:val="000000"/>
                <w:sz w:val="24"/>
              </w:rPr>
              <w:t>规格mm</w:t>
            </w:r>
          </w:p>
        </w:tc>
        <w:tc>
          <w:tcPr>
            <w:tcW w:w="2967" w:type="dxa"/>
            <w:tcMar>
              <w:top w:w="0" w:type="dxa"/>
              <w:left w:w="105" w:type="dxa"/>
              <w:bottom w:w="0" w:type="dxa"/>
              <w:right w:w="105" w:type="dxa"/>
            </w:tcMar>
            <w:vAlign w:val="center"/>
          </w:tcPr>
          <w:p w14:paraId="4D31BEE2">
            <w:pPr>
              <w:spacing w:before="100" w:beforeAutospacing="1" w:after="100" w:afterAutospacing="1" w:line="300" w:lineRule="exact"/>
              <w:jc w:val="center"/>
              <w:rPr>
                <w:rFonts w:ascii="宋体" w:hAnsi="宋体" w:cs="宋体"/>
                <w:kern w:val="0"/>
                <w:sz w:val="24"/>
              </w:rPr>
            </w:pPr>
            <w:r>
              <w:rPr>
                <w:rFonts w:hint="eastAsia" w:cs="宋体"/>
                <w:color w:val="000000"/>
                <w:sz w:val="24"/>
              </w:rPr>
              <w:t>要求</w:t>
            </w:r>
          </w:p>
        </w:tc>
        <w:tc>
          <w:tcPr>
            <w:tcW w:w="2445" w:type="dxa"/>
            <w:tcMar>
              <w:top w:w="0" w:type="dxa"/>
              <w:left w:w="105" w:type="dxa"/>
              <w:bottom w:w="0" w:type="dxa"/>
              <w:right w:w="105" w:type="dxa"/>
            </w:tcMar>
            <w:vAlign w:val="center"/>
          </w:tcPr>
          <w:p w14:paraId="4DE53DDE">
            <w:pPr>
              <w:widowControl/>
              <w:spacing w:before="100" w:beforeAutospacing="1" w:after="100" w:afterAutospacing="1" w:line="300" w:lineRule="exact"/>
              <w:jc w:val="center"/>
              <w:rPr>
                <w:rFonts w:ascii="宋体" w:hAnsi="宋体" w:cs="宋体"/>
                <w:kern w:val="0"/>
                <w:sz w:val="24"/>
              </w:rPr>
            </w:pPr>
            <w:r>
              <w:rPr>
                <w:rFonts w:hint="eastAsia" w:ascii="宋体" w:hAnsi="宋体" w:cs="宋体"/>
                <w:kern w:val="0"/>
                <w:sz w:val="24"/>
              </w:rPr>
              <w:t>图片</w:t>
            </w:r>
          </w:p>
        </w:tc>
      </w:tr>
      <w:tr w14:paraId="2E3D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38" w:hRule="atLeast"/>
          <w:tblCellSpacing w:w="15" w:type="dxa"/>
        </w:trPr>
        <w:tc>
          <w:tcPr>
            <w:tcW w:w="781" w:type="dxa"/>
            <w:tcMar>
              <w:top w:w="0" w:type="dxa"/>
              <w:left w:w="105" w:type="dxa"/>
              <w:bottom w:w="0" w:type="dxa"/>
              <w:right w:w="105" w:type="dxa"/>
            </w:tcMar>
            <w:vAlign w:val="center"/>
          </w:tcPr>
          <w:p w14:paraId="3DA23AF4">
            <w:pPr>
              <w:pStyle w:val="7"/>
              <w:jc w:val="center"/>
              <w:rPr>
                <w:rFonts w:hint="default"/>
                <w:lang w:val="en-US"/>
              </w:rPr>
            </w:pPr>
            <w:r>
              <w:rPr>
                <w:rFonts w:hint="eastAsia" w:ascii="宋体" w:hAnsi="宋体" w:cs="宋体"/>
                <w:sz w:val="24"/>
                <w:lang w:val="en-US" w:eastAsia="zh-CN"/>
              </w:rPr>
              <w:t>1</w:t>
            </w:r>
          </w:p>
        </w:tc>
        <w:tc>
          <w:tcPr>
            <w:tcW w:w="1274" w:type="dxa"/>
            <w:tcMar>
              <w:top w:w="0" w:type="dxa"/>
              <w:left w:w="105" w:type="dxa"/>
              <w:bottom w:w="0" w:type="dxa"/>
              <w:right w:w="105" w:type="dxa"/>
            </w:tcMar>
            <w:vAlign w:val="center"/>
          </w:tcPr>
          <w:p w14:paraId="7831B7F4">
            <w:pPr>
              <w:widowControl/>
              <w:tabs>
                <w:tab w:val="right" w:pos="9723"/>
              </w:tabs>
              <w:spacing w:line="400" w:lineRule="exact"/>
              <w:ind w:left="-44" w:leftChars="-21"/>
              <w:jc w:val="center"/>
              <w:rPr>
                <w:rFonts w:hint="eastAsia" w:eastAsia="宋体"/>
                <w:lang w:eastAsia="zh-CN"/>
              </w:rPr>
            </w:pPr>
            <w:r>
              <w:rPr>
                <w:rFonts w:hint="eastAsia" w:ascii="宋体" w:hAnsi="宋体" w:cs="宋体"/>
                <w:sz w:val="24"/>
                <w:szCs w:val="24"/>
                <w:lang w:val="en-US" w:eastAsia="zh-CN"/>
              </w:rPr>
              <w:t>礼堂椅</w:t>
            </w:r>
          </w:p>
        </w:tc>
        <w:tc>
          <w:tcPr>
            <w:tcW w:w="1050" w:type="dxa"/>
            <w:tcMar>
              <w:top w:w="0" w:type="dxa"/>
              <w:left w:w="105" w:type="dxa"/>
              <w:bottom w:w="0" w:type="dxa"/>
              <w:right w:w="105" w:type="dxa"/>
            </w:tcMar>
            <w:vAlign w:val="center"/>
          </w:tcPr>
          <w:p w14:paraId="41882C16">
            <w:pPr>
              <w:widowControl/>
              <w:tabs>
                <w:tab w:val="right" w:pos="9723"/>
              </w:tabs>
              <w:spacing w:line="400" w:lineRule="exact"/>
              <w:ind w:left="-44" w:leftChars="-21"/>
              <w:jc w:val="center"/>
              <w:rPr>
                <w:rFonts w:hint="eastAsia" w:eastAsia="宋体"/>
                <w:lang w:eastAsia="zh-CN"/>
              </w:rPr>
            </w:pPr>
            <w:r>
              <w:rPr>
                <w:rFonts w:hint="eastAsia" w:ascii="宋体" w:hAnsi="宋体" w:cs="宋体"/>
                <w:sz w:val="24"/>
                <w:szCs w:val="24"/>
              </w:rPr>
              <w:t>1</w:t>
            </w:r>
            <w:r>
              <w:rPr>
                <w:rFonts w:hint="eastAsia" w:ascii="宋体" w:hAnsi="宋体" w:cs="宋体"/>
                <w:sz w:val="24"/>
                <w:szCs w:val="24"/>
                <w:lang w:val="en-US" w:eastAsia="zh-CN"/>
              </w:rPr>
              <w:t>位</w:t>
            </w:r>
          </w:p>
        </w:tc>
        <w:tc>
          <w:tcPr>
            <w:tcW w:w="2025" w:type="dxa"/>
            <w:tcMar>
              <w:top w:w="0" w:type="dxa"/>
              <w:left w:w="105" w:type="dxa"/>
              <w:bottom w:w="0" w:type="dxa"/>
              <w:right w:w="105" w:type="dxa"/>
            </w:tcMar>
            <w:vAlign w:val="center"/>
          </w:tcPr>
          <w:p w14:paraId="0D192A34">
            <w:pPr>
              <w:widowControl/>
              <w:spacing w:line="240" w:lineRule="auto"/>
              <w:jc w:val="center"/>
              <w:textAlignment w:val="center"/>
              <w:rPr>
                <w:rFonts w:hint="eastAsia" w:eastAsia="宋体"/>
                <w:sz w:val="18"/>
                <w:szCs w:val="18"/>
                <w:lang w:eastAsia="zh-CN"/>
              </w:rPr>
            </w:pPr>
            <w:r>
              <w:rPr>
                <w:rFonts w:hint="default" w:ascii="宋体" w:hAnsi="宋体" w:eastAsia="宋体" w:cs="宋体"/>
                <w:i w:val="0"/>
                <w:iCs w:val="0"/>
                <w:color w:val="000000"/>
                <w:sz w:val="22"/>
                <w:szCs w:val="22"/>
                <w:u w:val="none"/>
                <w:lang w:val="en-US"/>
              </w:rPr>
              <w:t>座椅扶手中心距：580mm，背高：1000mm，座高：470mm，座深：440mm</w:t>
            </w:r>
          </w:p>
        </w:tc>
        <w:tc>
          <w:tcPr>
            <w:tcW w:w="2967" w:type="dxa"/>
            <w:tcMar>
              <w:top w:w="0" w:type="dxa"/>
              <w:left w:w="105" w:type="dxa"/>
              <w:bottom w:w="0" w:type="dxa"/>
              <w:right w:w="105" w:type="dxa"/>
            </w:tcMar>
            <w:vAlign w:val="center"/>
          </w:tcPr>
          <w:p w14:paraId="0A68018B">
            <w:pPr>
              <w:spacing w:line="240" w:lineRule="auto"/>
              <w:ind w:left="-44" w:leftChars="-21"/>
              <w:jc w:val="center"/>
              <w:rPr>
                <w:sz w:val="18"/>
                <w:szCs w:val="18"/>
              </w:rPr>
            </w:pPr>
            <w:r>
              <w:rPr>
                <w:rFonts w:hint="eastAsia" w:ascii="宋体" w:hAnsi="宋体" w:eastAsia="宋体" w:cs="宋体"/>
                <w:i w:val="0"/>
                <w:iCs w:val="0"/>
                <w:color w:val="000000"/>
                <w:sz w:val="22"/>
                <w:szCs w:val="22"/>
                <w:u w:val="none"/>
                <w:lang w:val="en-US"/>
              </w:rPr>
              <w:t>详见</w:t>
            </w:r>
            <w:r>
              <w:rPr>
                <w:rFonts w:hint="eastAsia" w:ascii="宋体" w:hAnsi="宋体" w:eastAsia="宋体" w:cs="宋体"/>
                <w:i w:val="0"/>
                <w:iCs w:val="0"/>
                <w:color w:val="000000"/>
                <w:sz w:val="22"/>
                <w:szCs w:val="22"/>
                <w:u w:val="none"/>
                <w:lang w:val="en-US" w:eastAsia="zh-CN"/>
              </w:rPr>
              <w:t>礼堂椅参数</w:t>
            </w:r>
            <w:r>
              <w:rPr>
                <w:rFonts w:hint="eastAsia" w:ascii="宋体" w:hAnsi="宋体" w:eastAsia="宋体" w:cs="宋体"/>
                <w:i w:val="0"/>
                <w:iCs w:val="0"/>
                <w:color w:val="000000"/>
                <w:sz w:val="22"/>
                <w:szCs w:val="22"/>
                <w:u w:val="none"/>
                <w:lang w:val="en-US"/>
              </w:rPr>
              <w:t>要求</w:t>
            </w:r>
          </w:p>
        </w:tc>
        <w:tc>
          <w:tcPr>
            <w:tcW w:w="2445" w:type="dxa"/>
            <w:tcMar>
              <w:top w:w="0" w:type="dxa"/>
              <w:left w:w="105" w:type="dxa"/>
              <w:bottom w:w="0" w:type="dxa"/>
              <w:right w:w="105" w:type="dxa"/>
            </w:tcMar>
            <w:vAlign w:val="center"/>
          </w:tcPr>
          <w:p w14:paraId="1571610D">
            <w:pPr>
              <w:widowControl/>
              <w:tabs>
                <w:tab w:val="right" w:pos="9723"/>
              </w:tabs>
              <w:spacing w:line="400" w:lineRule="exact"/>
              <w:ind w:left="-44" w:leftChars="-21"/>
              <w:jc w:val="center"/>
            </w:pPr>
            <w:r>
              <w:drawing>
                <wp:anchor distT="0" distB="0" distL="114300" distR="114300" simplePos="0" relativeHeight="251661312" behindDoc="0" locked="0" layoutInCell="1" allowOverlap="1">
                  <wp:simplePos x="0" y="0"/>
                  <wp:positionH relativeFrom="column">
                    <wp:posOffset>1026795</wp:posOffset>
                  </wp:positionH>
                  <wp:positionV relativeFrom="paragraph">
                    <wp:posOffset>758190</wp:posOffset>
                  </wp:positionV>
                  <wp:extent cx="415290" cy="556895"/>
                  <wp:effectExtent l="0" t="0" r="11430" b="698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415290" cy="556895"/>
                          </a:xfrm>
                          <a:prstGeom prst="rect">
                            <a:avLst/>
                          </a:prstGeom>
                          <a:noFill/>
                          <a:ln w="9525">
                            <a:noFill/>
                          </a:ln>
                        </pic:spPr>
                      </pic:pic>
                    </a:graphicData>
                  </a:graphic>
                </wp:anchor>
              </w:drawing>
            </w:r>
            <w:r>
              <w:drawing>
                <wp:anchor distT="0" distB="0" distL="114300" distR="114300" simplePos="0" relativeHeight="251660288" behindDoc="0" locked="0" layoutInCell="1" allowOverlap="1">
                  <wp:simplePos x="0" y="0"/>
                  <wp:positionH relativeFrom="column">
                    <wp:posOffset>635</wp:posOffset>
                  </wp:positionH>
                  <wp:positionV relativeFrom="paragraph">
                    <wp:posOffset>-9525</wp:posOffset>
                  </wp:positionV>
                  <wp:extent cx="1108710" cy="1383030"/>
                  <wp:effectExtent l="0" t="0" r="1524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l="6008" t="14429" b="5311"/>
                          <a:stretch>
                            <a:fillRect/>
                          </a:stretch>
                        </pic:blipFill>
                        <pic:spPr>
                          <a:xfrm flipH="1">
                            <a:off x="0" y="0"/>
                            <a:ext cx="1108710" cy="1383030"/>
                          </a:xfrm>
                          <a:prstGeom prst="rect">
                            <a:avLst/>
                          </a:prstGeom>
                          <a:noFill/>
                          <a:ln w="9525">
                            <a:noFill/>
                          </a:ln>
                        </pic:spPr>
                      </pic:pic>
                    </a:graphicData>
                  </a:graphic>
                </wp:anchor>
              </w:drawing>
            </w:r>
          </w:p>
        </w:tc>
      </w:tr>
    </w:tbl>
    <w:p w14:paraId="4BE4AEF3">
      <w:pPr>
        <w:pStyle w:val="15"/>
        <w:rPr>
          <w:rFonts w:hint="eastAsia"/>
        </w:rPr>
      </w:pPr>
    </w:p>
    <w:p w14:paraId="362BF64D">
      <w:pPr>
        <w:pStyle w:val="15"/>
        <w:spacing w:line="452" w:lineRule="atLeas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(1）未提供样品或提供的样品不全或样品材质、款式、工艺、尺寸等与招标文件不符的</w:t>
      </w:r>
      <w:r>
        <w:rPr>
          <w:rFonts w:hint="eastAsia" w:ascii="宋体" w:hAnsi="宋体" w:eastAsia="宋体" w:cs="宋体"/>
          <w:b w:val="0"/>
          <w:bCs w:val="0"/>
          <w:color w:val="000000"/>
          <w:kern w:val="0"/>
          <w:szCs w:val="24"/>
        </w:rPr>
        <w:t>（</w:t>
      </w:r>
      <w:r>
        <w:rPr>
          <w:rFonts w:hint="eastAsia" w:ascii="宋体" w:hAnsi="宋体" w:cs="宋体"/>
          <w:b w:val="0"/>
          <w:bCs w:val="0"/>
          <w:kern w:val="0"/>
          <w:sz w:val="24"/>
          <w:szCs w:val="24"/>
          <w:highlight w:val="none"/>
        </w:rPr>
        <w:t>允许成品样品偏差±</w:t>
      </w:r>
      <w:r>
        <w:rPr>
          <w:rFonts w:hint="eastAsia" w:ascii="宋体" w:hAnsi="宋体" w:cs="宋体"/>
          <w:b w:val="0"/>
          <w:bCs w:val="0"/>
          <w:color w:val="0000FF"/>
          <w:kern w:val="0"/>
          <w:sz w:val="24"/>
          <w:szCs w:val="24"/>
          <w:highlight w:val="none"/>
          <w:lang w:val="en-US" w:eastAsia="zh-CN"/>
        </w:rPr>
        <w:t>2</w:t>
      </w:r>
      <w:r>
        <w:rPr>
          <w:rFonts w:hint="eastAsia" w:ascii="宋体" w:hAnsi="宋体" w:cs="宋体"/>
          <w:b w:val="0"/>
          <w:bCs w:val="0"/>
          <w:color w:val="0000FF"/>
          <w:kern w:val="0"/>
          <w:sz w:val="24"/>
          <w:szCs w:val="24"/>
          <w:highlight w:val="none"/>
        </w:rPr>
        <w:t>0</w:t>
      </w:r>
      <w:r>
        <w:rPr>
          <w:rFonts w:hint="eastAsia" w:ascii="宋体" w:hAnsi="宋体" w:cs="宋体"/>
          <w:b w:val="0"/>
          <w:bCs w:val="0"/>
          <w:kern w:val="0"/>
          <w:sz w:val="24"/>
          <w:szCs w:val="24"/>
          <w:highlight w:val="none"/>
        </w:rPr>
        <w:t>MM；</w:t>
      </w:r>
      <w:r>
        <w:rPr>
          <w:rFonts w:hint="eastAsia" w:ascii="宋体" w:hAnsi="宋体" w:eastAsia="宋体" w:cs="宋体"/>
          <w:b w:val="0"/>
          <w:bCs w:val="0"/>
          <w:kern w:val="0"/>
          <w:sz w:val="24"/>
          <w:szCs w:val="24"/>
        </w:rPr>
        <w:t>小样材料</w:t>
      </w:r>
      <w:r>
        <w:rPr>
          <w:rFonts w:hint="eastAsia" w:ascii="宋体" w:hAnsi="宋体" w:eastAsia="宋体" w:cs="宋体"/>
          <w:b w:val="0"/>
          <w:bCs w:val="0"/>
          <w:kern w:val="0"/>
          <w:sz w:val="24"/>
          <w:szCs w:val="24"/>
          <w:lang w:val="en-US" w:eastAsia="zh-CN"/>
        </w:rPr>
        <w:t>外观尺寸</w:t>
      </w:r>
      <w:r>
        <w:rPr>
          <w:rFonts w:hint="eastAsia" w:ascii="宋体" w:hAnsi="宋体" w:eastAsia="宋体" w:cs="宋体"/>
          <w:b w:val="0"/>
          <w:bCs w:val="0"/>
          <w:kern w:val="0"/>
          <w:sz w:val="24"/>
          <w:szCs w:val="24"/>
        </w:rPr>
        <w:t>偏差±</w:t>
      </w:r>
      <w:r>
        <w:rPr>
          <w:rFonts w:hint="eastAsia" w:ascii="宋体" w:hAnsi="宋体" w:eastAsia="宋体" w:cs="宋体"/>
          <w:b w:val="0"/>
          <w:bCs w:val="0"/>
          <w:kern w:val="0"/>
          <w:sz w:val="24"/>
          <w:szCs w:val="24"/>
          <w:lang w:val="en-US" w:eastAsia="zh-CN"/>
        </w:rPr>
        <w:t>2</w:t>
      </w:r>
      <w:r>
        <w:rPr>
          <w:rFonts w:hint="eastAsia" w:ascii="宋体" w:hAnsi="宋体" w:eastAsia="宋体" w:cs="宋体"/>
          <w:b w:val="0"/>
          <w:bCs w:val="0"/>
          <w:kern w:val="0"/>
          <w:sz w:val="24"/>
          <w:szCs w:val="24"/>
        </w:rPr>
        <w:t>MM</w:t>
      </w:r>
      <w:r>
        <w:rPr>
          <w:rFonts w:hint="eastAsia" w:ascii="宋体" w:hAnsi="宋体" w:cs="宋体"/>
          <w:b w:val="0"/>
          <w:bCs w:val="0"/>
          <w:kern w:val="0"/>
          <w:sz w:val="24"/>
          <w:szCs w:val="24"/>
          <w:lang w:eastAsia="zh-CN"/>
        </w:rPr>
        <w:t>，</w:t>
      </w:r>
      <w:r>
        <w:rPr>
          <w:rFonts w:hint="eastAsia" w:ascii="宋体" w:hAnsi="宋体" w:eastAsia="宋体" w:cs="宋体"/>
          <w:b w:val="0"/>
          <w:bCs w:val="0"/>
          <w:kern w:val="0"/>
          <w:sz w:val="24"/>
          <w:szCs w:val="24"/>
          <w:lang w:val="en-US" w:eastAsia="zh-CN"/>
        </w:rPr>
        <w:t>材料厚度不允许负偏离</w:t>
      </w:r>
      <w:r>
        <w:rPr>
          <w:rFonts w:hint="eastAsia" w:ascii="宋体" w:hAnsi="宋体" w:cs="宋体"/>
          <w:b w:val="0"/>
          <w:bCs w:val="0"/>
          <w:kern w:val="0"/>
          <w:sz w:val="24"/>
          <w:szCs w:val="24"/>
          <w:lang w:eastAsia="zh-CN"/>
        </w:rPr>
        <w:t>）</w:t>
      </w:r>
      <w:r>
        <w:rPr>
          <w:rFonts w:hint="eastAsia" w:ascii="宋体" w:hAnsi="宋体" w:eastAsia="宋体" w:cs="宋体"/>
          <w:b w:val="0"/>
          <w:bCs w:val="0"/>
          <w:kern w:val="0"/>
          <w:sz w:val="24"/>
          <w:szCs w:val="24"/>
        </w:rPr>
        <w:t>，均视为样品参数评议不合格,若样品参数评议不合格，均不推荐为中标候选人。</w:t>
      </w:r>
    </w:p>
    <w:p w14:paraId="6068103B">
      <w:pPr>
        <w:adjustRightInd w:val="0"/>
        <w:snapToGrid w:val="0"/>
        <w:spacing w:line="452" w:lineRule="atLeast"/>
        <w:ind w:firstLine="480" w:firstLineChars="200"/>
        <w:rPr>
          <w:rFonts w:ascii="宋体" w:hAnsi="宋体" w:cs="宋体"/>
          <w:kern w:val="0"/>
          <w:sz w:val="24"/>
          <w:szCs w:val="24"/>
        </w:rPr>
      </w:pPr>
      <w:r>
        <w:rPr>
          <w:rFonts w:hint="eastAsia" w:ascii="宋体" w:hAnsi="宋体" w:cs="宋体"/>
          <w:kern w:val="0"/>
          <w:sz w:val="24"/>
          <w:szCs w:val="24"/>
        </w:rPr>
        <w:t>(2）所有样品均应粘贴标签，上面标明货物名称、</w:t>
      </w:r>
      <w:r>
        <w:rPr>
          <w:rFonts w:hint="eastAsia" w:ascii="宋体" w:hAnsi="宋体" w:cs="宋体"/>
          <w:kern w:val="0"/>
          <w:sz w:val="24"/>
          <w:szCs w:val="24"/>
          <w:lang w:val="en-US" w:eastAsia="zh-CN"/>
        </w:rPr>
        <w:t>样品序</w:t>
      </w:r>
      <w:r>
        <w:rPr>
          <w:rFonts w:hint="eastAsia" w:ascii="宋体" w:hAnsi="宋体" w:cs="宋体"/>
          <w:kern w:val="0"/>
          <w:sz w:val="24"/>
          <w:szCs w:val="24"/>
        </w:rPr>
        <w:t>号，标签应粘贴牢固，书写应正楷、清晰（不得出现投标人名称、品牌、型号）。</w:t>
      </w:r>
    </w:p>
    <w:p w14:paraId="3E564652">
      <w:pPr>
        <w:adjustRightInd w:val="0"/>
        <w:snapToGrid w:val="0"/>
        <w:spacing w:line="452" w:lineRule="atLeast"/>
        <w:ind w:firstLine="480" w:firstLineChars="200"/>
        <w:rPr>
          <w:rFonts w:ascii="宋体" w:hAnsi="宋体" w:cs="宋体"/>
          <w:kern w:val="0"/>
          <w:sz w:val="24"/>
          <w:szCs w:val="24"/>
        </w:rPr>
      </w:pPr>
      <w:r>
        <w:rPr>
          <w:rFonts w:hint="eastAsia" w:ascii="宋体" w:hAnsi="宋体" w:cs="宋体"/>
          <w:kern w:val="0"/>
          <w:sz w:val="24"/>
          <w:szCs w:val="24"/>
        </w:rPr>
        <w:t>(3）采购人有权对中标人的样品封存保留作为测试验收依据,若所提供实物与样品不符，则采购人有权退货，按合同规定进行赔偿或采购人暂时使用中标人提供的与样品不符的货物直至中标人重新提供与样品相符的货物直至采购人满意为止。</w:t>
      </w:r>
    </w:p>
    <w:p w14:paraId="120A03B8">
      <w:pPr>
        <w:widowControl/>
        <w:spacing w:line="452" w:lineRule="atLeast"/>
        <w:ind w:firstLine="480" w:firstLineChars="200"/>
        <w:jc w:val="left"/>
        <w:rPr>
          <w:rFonts w:ascii="宋体" w:hAnsi="宋体" w:cs="宋体"/>
          <w:kern w:val="0"/>
          <w:sz w:val="24"/>
          <w:szCs w:val="24"/>
        </w:rPr>
      </w:pPr>
      <w:r>
        <w:rPr>
          <w:rFonts w:hint="eastAsia" w:ascii="宋体" w:hAnsi="宋体" w:cs="宋体"/>
          <w:kern w:val="0"/>
          <w:sz w:val="24"/>
          <w:szCs w:val="24"/>
        </w:rPr>
        <w:t>(4）评标过程中可能对样品进行拆散检验，由此可能造成的损坏由投标人自行承担。</w:t>
      </w:r>
    </w:p>
    <w:p w14:paraId="5AEA6294">
      <w:pPr>
        <w:widowControl/>
        <w:spacing w:line="452" w:lineRule="atLeast"/>
        <w:ind w:firstLine="480" w:firstLineChars="200"/>
        <w:jc w:val="left"/>
        <w:rPr>
          <w:rFonts w:ascii="宋体" w:hAnsi="宋体" w:cs="宋体"/>
          <w:kern w:val="0"/>
          <w:sz w:val="24"/>
          <w:szCs w:val="24"/>
        </w:rPr>
      </w:pPr>
      <w:r>
        <w:rPr>
          <w:rFonts w:hint="eastAsia" w:ascii="宋体" w:hAnsi="宋体" w:cs="宋体"/>
          <w:kern w:val="0"/>
          <w:sz w:val="24"/>
          <w:szCs w:val="24"/>
        </w:rPr>
        <w:t>(5）样品提交时间及地点：样品须于开标日前一个工作日（</w:t>
      </w:r>
      <w:r>
        <w:rPr>
          <w:rFonts w:hint="eastAsia" w:ascii="宋体" w:hAnsi="宋体" w:cs="宋体"/>
          <w:kern w:val="0"/>
          <w:sz w:val="24"/>
          <w:szCs w:val="24"/>
          <w:lang w:val="en-US" w:eastAsia="zh-CN"/>
        </w:rPr>
        <w:t>2025</w:t>
      </w:r>
      <w:r>
        <w:rPr>
          <w:rFonts w:hint="eastAsia" w:ascii="宋体" w:hAnsi="宋体" w:cs="宋体"/>
          <w:kern w:val="0"/>
          <w:sz w:val="24"/>
          <w:szCs w:val="24"/>
        </w:rPr>
        <w:t>年</w:t>
      </w:r>
      <w:r>
        <w:rPr>
          <w:rFonts w:hint="eastAsia" w:ascii="宋体" w:hAnsi="宋体" w:cs="宋体"/>
          <w:kern w:val="0"/>
          <w:sz w:val="24"/>
          <w:szCs w:val="24"/>
          <w:lang w:val="en-US" w:eastAsia="zh-CN"/>
        </w:rPr>
        <w:t>12</w:t>
      </w:r>
      <w:r>
        <w:rPr>
          <w:rFonts w:hint="eastAsia" w:ascii="宋体" w:hAnsi="宋体" w:cs="宋体"/>
          <w:kern w:val="0"/>
          <w:sz w:val="24"/>
          <w:szCs w:val="24"/>
        </w:rPr>
        <w:t>月</w:t>
      </w:r>
      <w:r>
        <w:rPr>
          <w:rFonts w:hint="eastAsia" w:ascii="宋体" w:hAnsi="宋体" w:cs="宋体"/>
          <w:kern w:val="0"/>
          <w:sz w:val="24"/>
          <w:szCs w:val="24"/>
          <w:lang w:val="en-US" w:eastAsia="zh-CN"/>
        </w:rPr>
        <w:t>9</w:t>
      </w:r>
      <w:r>
        <w:rPr>
          <w:rFonts w:hint="eastAsia" w:ascii="宋体" w:hAnsi="宋体" w:cs="宋体"/>
          <w:kern w:val="0"/>
          <w:sz w:val="24"/>
          <w:szCs w:val="24"/>
        </w:rPr>
        <w:t>日下午17:00）前送</w:t>
      </w:r>
      <w:r>
        <w:rPr>
          <w:rFonts w:hint="eastAsia" w:ascii="宋体" w:hAnsi="宋体" w:cs="宋体"/>
          <w:color w:val="auto"/>
          <w:kern w:val="0"/>
          <w:sz w:val="24"/>
          <w:szCs w:val="24"/>
        </w:rPr>
        <w:t>达</w:t>
      </w:r>
      <w:r>
        <w:rPr>
          <w:rFonts w:hint="eastAsia" w:ascii="宋体" w:hAnsi="宋体" w:cs="宋体"/>
          <w:color w:val="auto"/>
          <w:kern w:val="0"/>
          <w:sz w:val="24"/>
          <w:szCs w:val="24"/>
          <w:lang w:val="en-US" w:eastAsia="zh-CN"/>
        </w:rPr>
        <w:t>招标人</w:t>
      </w:r>
      <w:r>
        <w:rPr>
          <w:rFonts w:hint="eastAsia" w:ascii="宋体" w:hAnsi="宋体" w:cs="宋体"/>
          <w:color w:val="auto"/>
          <w:kern w:val="0"/>
          <w:sz w:val="24"/>
          <w:szCs w:val="24"/>
        </w:rPr>
        <w:t>指定样品存放地点并组装好，逾期不予受理。报价人提供的样品在接到</w:t>
      </w:r>
      <w:r>
        <w:rPr>
          <w:rFonts w:hint="eastAsia" w:ascii="宋体" w:hAnsi="宋体" w:cs="宋体"/>
          <w:color w:val="auto"/>
          <w:kern w:val="0"/>
          <w:sz w:val="24"/>
          <w:szCs w:val="24"/>
          <w:lang w:val="en-US" w:eastAsia="zh-CN"/>
        </w:rPr>
        <w:t>招标人</w:t>
      </w:r>
      <w:r>
        <w:rPr>
          <w:rFonts w:hint="eastAsia" w:ascii="宋体" w:hAnsi="宋体" w:cs="宋体"/>
          <w:color w:val="auto"/>
          <w:kern w:val="0"/>
          <w:sz w:val="24"/>
          <w:szCs w:val="24"/>
        </w:rPr>
        <w:t>通知</w:t>
      </w:r>
      <w:r>
        <w:rPr>
          <w:rFonts w:hint="eastAsia" w:ascii="宋体" w:hAnsi="宋体" w:cs="宋体"/>
          <w:kern w:val="0"/>
          <w:sz w:val="24"/>
          <w:szCs w:val="24"/>
        </w:rPr>
        <w:t>二日内办理样品退回手续，未在规定时间内取回样品的，若发生样品损毁丢失后果自负。</w:t>
      </w:r>
    </w:p>
    <w:p w14:paraId="202281CC">
      <w:pPr>
        <w:adjustRightInd w:val="0"/>
        <w:snapToGrid w:val="0"/>
        <w:spacing w:line="452" w:lineRule="atLeast"/>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三、售后服务要求</w:t>
      </w:r>
      <w:r>
        <w:rPr>
          <w:rFonts w:hint="eastAsia" w:ascii="宋体" w:hAnsi="宋体" w:cs="宋体"/>
          <w:kern w:val="0"/>
          <w:sz w:val="24"/>
          <w:szCs w:val="24"/>
        </w:rPr>
        <w:t>：</w:t>
      </w:r>
    </w:p>
    <w:p w14:paraId="207EFD40">
      <w:pPr>
        <w:adjustRightInd w:val="0"/>
        <w:snapToGrid w:val="0"/>
        <w:spacing w:line="452" w:lineRule="atLeast"/>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1.</w:t>
      </w:r>
      <w:r>
        <w:rPr>
          <w:rFonts w:hint="eastAsia" w:ascii="宋体" w:hAnsi="宋体" w:cs="宋体"/>
          <w:kern w:val="0"/>
          <w:sz w:val="24"/>
          <w:szCs w:val="24"/>
        </w:rPr>
        <w:t xml:space="preserve">中标方应对所供货物提供至少壹年的(现场)免费保修。保修期内，非因操作不当造成要更换的零配件及货物由中标方负责包修\包换。 </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提供承诺书</w:t>
      </w:r>
      <w:r>
        <w:rPr>
          <w:rFonts w:hint="eastAsia" w:ascii="宋体" w:hAnsi="宋体" w:cs="宋体"/>
          <w:kern w:val="0"/>
          <w:sz w:val="24"/>
          <w:szCs w:val="24"/>
          <w:lang w:eastAsia="zh-CN"/>
        </w:rPr>
        <w:t>）</w:t>
      </w:r>
      <w:r>
        <w:rPr>
          <w:rFonts w:hint="eastAsia" w:ascii="宋体" w:hAnsi="宋体" w:cs="宋体"/>
          <w:kern w:val="0"/>
          <w:sz w:val="24"/>
          <w:szCs w:val="24"/>
        </w:rPr>
        <w:t xml:space="preserve">                                                   </w:t>
      </w:r>
    </w:p>
    <w:p w14:paraId="34A11C0F">
      <w:pPr>
        <w:adjustRightInd w:val="0"/>
        <w:snapToGrid w:val="0"/>
        <w:spacing w:line="452" w:lineRule="atLeast"/>
        <w:ind w:firstLine="480" w:firstLineChars="200"/>
        <w:rPr>
          <w:rFonts w:hint="eastAsia" w:ascii="宋体" w:hAnsi="宋体" w:cs="宋体"/>
          <w:kern w:val="0"/>
          <w:sz w:val="24"/>
          <w:szCs w:val="24"/>
        </w:rPr>
      </w:pPr>
      <w:r>
        <w:rPr>
          <w:rFonts w:hint="eastAsia" w:ascii="宋体" w:hAnsi="宋体" w:cs="宋体"/>
          <w:kern w:val="0"/>
          <w:sz w:val="24"/>
          <w:szCs w:val="24"/>
        </w:rPr>
        <w:t>2.质保期结束后，中标方仍应对货物提供终身维修服务，中标方有责任自行维护或在</w:t>
      </w:r>
      <w:r>
        <w:rPr>
          <w:rFonts w:hint="eastAsia" w:ascii="宋体" w:hAnsi="宋体" w:cs="宋体"/>
          <w:kern w:val="0"/>
          <w:sz w:val="24"/>
          <w:szCs w:val="24"/>
          <w:lang w:val="en-US" w:eastAsia="zh-CN"/>
        </w:rPr>
        <w:t>客户所在地</w:t>
      </w:r>
      <w:r>
        <w:rPr>
          <w:rFonts w:hint="eastAsia" w:ascii="宋体" w:hAnsi="宋体" w:cs="宋体"/>
          <w:kern w:val="0"/>
          <w:sz w:val="24"/>
          <w:szCs w:val="24"/>
        </w:rPr>
        <w:t>指定有能力的代理人对货物在必要时进行定期维护和修理，更换配件时只能收取配件的成本费</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提供承诺书</w:t>
      </w:r>
      <w:r>
        <w:rPr>
          <w:rFonts w:hint="eastAsia" w:ascii="宋体" w:hAnsi="宋体" w:cs="宋体"/>
          <w:kern w:val="0"/>
          <w:sz w:val="24"/>
          <w:szCs w:val="24"/>
          <w:lang w:eastAsia="zh-CN"/>
        </w:rPr>
        <w:t>）</w:t>
      </w:r>
      <w:r>
        <w:rPr>
          <w:rFonts w:hint="eastAsia" w:ascii="宋体" w:hAnsi="宋体" w:cs="宋体"/>
          <w:kern w:val="0"/>
          <w:sz w:val="24"/>
          <w:szCs w:val="24"/>
        </w:rPr>
        <w:t xml:space="preserve">                                         </w:t>
      </w:r>
    </w:p>
    <w:p w14:paraId="203651AD">
      <w:pPr>
        <w:adjustRightInd w:val="0"/>
        <w:snapToGrid w:val="0"/>
        <w:spacing w:line="452" w:lineRule="atLeast"/>
        <w:ind w:firstLine="480" w:firstLineChars="200"/>
        <w:rPr>
          <w:rFonts w:hint="eastAsia" w:ascii="宋体" w:hAnsi="宋体" w:cs="宋体"/>
          <w:kern w:val="0"/>
          <w:sz w:val="24"/>
          <w:szCs w:val="24"/>
        </w:rPr>
        <w:sectPr>
          <w:pgSz w:w="11906" w:h="16838"/>
          <w:pgMar w:top="1134" w:right="850" w:bottom="1134" w:left="850" w:header="851" w:footer="992" w:gutter="0"/>
          <w:cols w:space="0" w:num="1"/>
          <w:rtlGutter w:val="0"/>
          <w:docGrid w:type="lines" w:linePitch="312" w:charSpace="0"/>
        </w:sectPr>
      </w:pPr>
      <w:r>
        <w:rPr>
          <w:rFonts w:hint="eastAsia" w:ascii="宋体" w:hAnsi="宋体" w:cs="宋体"/>
          <w:kern w:val="0"/>
          <w:sz w:val="24"/>
          <w:szCs w:val="24"/>
        </w:rPr>
        <w:t>3.维修服务的响应时间在质量保证期间，本次采购的货物发生故障，所有产品必须保证365天×24小时故障维护，故障响应时间小于4小时。并在响应时间内到达现场进行免费维修服务，24小时内排除故障</w:t>
      </w:r>
      <w:r>
        <w:rPr>
          <w:rFonts w:hint="eastAsia" w:ascii="宋体" w:hAnsi="宋体" w:cs="宋体"/>
          <w:kern w:val="0"/>
          <w:sz w:val="24"/>
          <w:szCs w:val="24"/>
          <w:lang w:eastAsia="zh-CN"/>
        </w:rPr>
        <w:t>。</w:t>
      </w:r>
      <w:r>
        <w:rPr>
          <w:rFonts w:hint="eastAsia" w:ascii="宋体" w:hAnsi="宋体" w:cs="宋体"/>
          <w:kern w:val="0"/>
          <w:sz w:val="24"/>
          <w:szCs w:val="24"/>
          <w:highlight w:val="none"/>
          <w:lang w:eastAsia="zh-CN"/>
        </w:rPr>
        <w:t>逾期采购人有权另请他人维修，费用由中标人承担;若无法排除故障的，中标人应在24小时内提供</w:t>
      </w:r>
      <w:r>
        <w:rPr>
          <w:rFonts w:hint="eastAsia" w:ascii="宋体" w:hAnsi="宋体" w:cs="宋体"/>
          <w:kern w:val="0"/>
          <w:sz w:val="24"/>
          <w:szCs w:val="24"/>
          <w:highlight w:val="none"/>
          <w:lang w:val="en-US" w:eastAsia="zh-CN"/>
        </w:rPr>
        <w:t>同类型</w:t>
      </w:r>
      <w:r>
        <w:rPr>
          <w:rFonts w:hint="eastAsia" w:ascii="宋体" w:hAnsi="宋体" w:cs="宋体"/>
          <w:kern w:val="0"/>
          <w:sz w:val="24"/>
          <w:szCs w:val="24"/>
          <w:highlight w:val="none"/>
          <w:lang w:eastAsia="zh-CN"/>
        </w:rPr>
        <w:t>备用货物供采购人正常工作</w:t>
      </w:r>
      <w:r>
        <w:rPr>
          <w:rFonts w:hint="eastAsia" w:ascii="宋体" w:hAnsi="宋体" w:cs="宋体"/>
          <w:kern w:val="0"/>
          <w:sz w:val="24"/>
          <w:szCs w:val="24"/>
          <w:highlight w:val="none"/>
        </w:rPr>
        <w:t xml:space="preserve"> </w:t>
      </w:r>
      <w:r>
        <w:rPr>
          <w:rFonts w:hint="eastAsia" w:ascii="宋体" w:hAnsi="宋体" w:cs="宋体"/>
          <w:kern w:val="0"/>
          <w:sz w:val="24"/>
          <w:szCs w:val="24"/>
          <w:highlight w:val="none"/>
          <w:lang w:eastAsia="zh-CN"/>
        </w:rPr>
        <w:t>。</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提供承诺书</w:t>
      </w:r>
      <w:r>
        <w:rPr>
          <w:rFonts w:hint="eastAsia" w:ascii="宋体" w:hAnsi="宋体" w:cs="宋体"/>
          <w:kern w:val="0"/>
          <w:sz w:val="24"/>
          <w:szCs w:val="24"/>
          <w:lang w:eastAsia="zh-CN"/>
        </w:rPr>
        <w:t>）</w:t>
      </w:r>
      <w:r>
        <w:rPr>
          <w:rFonts w:hint="eastAsia" w:ascii="宋体" w:hAnsi="宋体" w:cs="宋体"/>
          <w:kern w:val="0"/>
          <w:sz w:val="24"/>
          <w:szCs w:val="24"/>
        </w:rPr>
        <w:t xml:space="preserve"> </w:t>
      </w:r>
    </w:p>
    <w:p w14:paraId="2C078FBE">
      <w:pPr>
        <w:pStyle w:val="17"/>
        <w:ind w:left="0" w:leftChars="0" w:firstLine="0" w:firstLineChars="0"/>
        <w:jc w:val="left"/>
        <w:rPr>
          <w:rFonts w:hint="eastAsia"/>
          <w:lang w:val="en-US" w:eastAsia="zh-CN"/>
        </w:rPr>
      </w:pPr>
    </w:p>
    <w:p w14:paraId="31D555C4">
      <w:pPr>
        <w:pStyle w:val="2"/>
        <w:ind w:firstLine="0"/>
        <w:jc w:val="center"/>
      </w:pPr>
      <w:r>
        <w:rPr>
          <w:rFonts w:hint="eastAsia"/>
          <w:b/>
          <w:sz w:val="28"/>
          <w:szCs w:val="28"/>
        </w:rPr>
        <w:t>一、投标书</w:t>
      </w:r>
    </w:p>
    <w:p w14:paraId="697C2685">
      <w:pPr>
        <w:rPr>
          <w:rFonts w:ascii="仿宋_GB2312" w:eastAsia="仿宋_GB2312"/>
          <w:sz w:val="28"/>
          <w:szCs w:val="28"/>
        </w:rPr>
      </w:pPr>
      <w:r>
        <w:rPr>
          <w:rFonts w:hint="eastAsia" w:ascii="仿宋_GB2312" w:eastAsia="仿宋_GB2312"/>
          <w:sz w:val="28"/>
          <w:szCs w:val="28"/>
        </w:rPr>
        <w:t>致：福建省肿瘤医院</w:t>
      </w:r>
    </w:p>
    <w:p w14:paraId="28A9E790">
      <w:pPr>
        <w:rPr>
          <w:rFonts w:ascii="仿宋_GB2312" w:eastAsia="仿宋_GB2312"/>
          <w:sz w:val="28"/>
          <w:szCs w:val="28"/>
        </w:rPr>
      </w:pPr>
      <w:r>
        <w:rPr>
          <w:rFonts w:hint="eastAsia" w:ascii="仿宋_GB2312" w:eastAsia="仿宋_GB2312"/>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eastAsia="仿宋_GB2312"/>
          <w:b/>
          <w:sz w:val="28"/>
          <w:szCs w:val="28"/>
          <w:u w:val="single"/>
        </w:rPr>
        <w:t xml:space="preserve">：      </w:t>
      </w:r>
      <w:r>
        <w:rPr>
          <w:rFonts w:hint="eastAsia" w:ascii="仿宋_GB2312" w:eastAsia="仿宋_GB2312"/>
          <w:sz w:val="28"/>
          <w:szCs w:val="28"/>
          <w:u w:val="single"/>
        </w:rPr>
        <w:t xml:space="preserve">  （小写：           ）</w:t>
      </w:r>
      <w:r>
        <w:rPr>
          <w:rFonts w:hint="eastAsia" w:ascii="仿宋_GB2312" w:eastAsia="仿宋_GB2312"/>
          <w:sz w:val="28"/>
          <w:szCs w:val="28"/>
        </w:rPr>
        <w:t>的投标报价并按上述条款、标准要求承包上述项目，并承担任何质量缺陷保修责任。</w:t>
      </w:r>
    </w:p>
    <w:p w14:paraId="4E6EDA96">
      <w:pPr>
        <w:ind w:firstLine="532" w:firstLineChars="190"/>
        <w:rPr>
          <w:rFonts w:ascii="仿宋_GB2312" w:eastAsia="仿宋_GB2312"/>
          <w:sz w:val="28"/>
          <w:szCs w:val="28"/>
        </w:rPr>
      </w:pPr>
      <w:r>
        <w:rPr>
          <w:rFonts w:hint="eastAsia" w:ascii="仿宋_GB2312" w:eastAsia="仿宋_GB2312"/>
          <w:sz w:val="28"/>
          <w:szCs w:val="28"/>
        </w:rPr>
        <w:t>2、我方已详细审核全部招标文件及有关附件。</w:t>
      </w:r>
    </w:p>
    <w:p w14:paraId="3E49D8C3">
      <w:pPr>
        <w:ind w:firstLine="532" w:firstLineChars="190"/>
        <w:rPr>
          <w:rFonts w:ascii="仿宋_GB2312" w:eastAsia="仿宋_GB2312"/>
          <w:sz w:val="28"/>
          <w:szCs w:val="28"/>
        </w:rPr>
      </w:pPr>
      <w:r>
        <w:rPr>
          <w:rFonts w:hint="eastAsia" w:ascii="仿宋_GB2312" w:eastAsia="仿宋_GB2312"/>
          <w:sz w:val="28"/>
          <w:szCs w:val="28"/>
        </w:rPr>
        <w:t>3、一旦我方中标，我方保证质量达到</w:t>
      </w:r>
      <w:r>
        <w:rPr>
          <w:rFonts w:hint="eastAsia" w:ascii="仿宋_GB2312" w:eastAsia="仿宋_GB2312"/>
          <w:b/>
          <w:sz w:val="28"/>
          <w:szCs w:val="28"/>
          <w:u w:val="single"/>
        </w:rPr>
        <w:t>投标须知、投标文件等规定</w:t>
      </w:r>
      <w:r>
        <w:rPr>
          <w:rFonts w:hint="eastAsia" w:ascii="仿宋_GB2312" w:eastAsia="仿宋_GB2312"/>
          <w:sz w:val="28"/>
          <w:szCs w:val="28"/>
        </w:rPr>
        <w:t>标准。</w:t>
      </w:r>
    </w:p>
    <w:p w14:paraId="0555DE30">
      <w:pPr>
        <w:ind w:firstLine="532" w:firstLineChars="190"/>
        <w:rPr>
          <w:rFonts w:ascii="仿宋_GB2312" w:eastAsia="仿宋_GB2312"/>
          <w:sz w:val="28"/>
          <w:szCs w:val="28"/>
        </w:rPr>
      </w:pPr>
      <w:r>
        <w:rPr>
          <w:rFonts w:hint="eastAsia" w:ascii="仿宋_GB2312" w:eastAsia="仿宋_GB2312"/>
          <w:sz w:val="28"/>
          <w:szCs w:val="28"/>
        </w:rPr>
        <w:t>4、我方同意所提交的投标文件在招标文件的投标须知中规定的投标有效期内有效，在此期间内如果中标，我方将受此约束。</w:t>
      </w:r>
    </w:p>
    <w:p w14:paraId="3584EED2">
      <w:pPr>
        <w:ind w:firstLine="426"/>
        <w:rPr>
          <w:rFonts w:ascii="仿宋_GB2312" w:eastAsia="仿宋_GB2312"/>
          <w:sz w:val="28"/>
          <w:szCs w:val="28"/>
        </w:rPr>
      </w:pPr>
      <w:r>
        <w:rPr>
          <w:rFonts w:hint="eastAsia" w:ascii="仿宋_GB2312" w:eastAsia="仿宋_GB2312"/>
          <w:sz w:val="28"/>
          <w:szCs w:val="28"/>
        </w:rPr>
        <w:t>5、除非另外达成协议并生效，你方的中标通知书和本投标文件将成为约束双方的合同文件的组成部分。</w:t>
      </w:r>
    </w:p>
    <w:p w14:paraId="681AFD15">
      <w:pPr>
        <w:ind w:firstLine="560" w:firstLineChars="200"/>
        <w:rPr>
          <w:rFonts w:ascii="仿宋_GB2312" w:eastAsia="仿宋_GB2312"/>
          <w:sz w:val="28"/>
          <w:szCs w:val="28"/>
        </w:rPr>
      </w:pPr>
      <w:r>
        <w:rPr>
          <w:rFonts w:hint="eastAsia" w:ascii="仿宋_GB2312" w:eastAsia="仿宋_GB2312"/>
          <w:sz w:val="28"/>
          <w:szCs w:val="28"/>
        </w:rPr>
        <w:t>附件：报价清单</w:t>
      </w:r>
    </w:p>
    <w:p w14:paraId="1E5B7730">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投标人（盖章）： </w:t>
      </w:r>
    </w:p>
    <w:p w14:paraId="6F6EA674">
      <w:pPr>
        <w:spacing w:line="360" w:lineRule="exact"/>
        <w:rPr>
          <w:rFonts w:ascii="仿宋_GB2312" w:eastAsia="仿宋_GB2312"/>
          <w:sz w:val="28"/>
          <w:szCs w:val="28"/>
        </w:rPr>
      </w:pPr>
    </w:p>
    <w:p w14:paraId="1E65673A">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单位地址： </w:t>
      </w:r>
    </w:p>
    <w:p w14:paraId="6DD64F13">
      <w:pPr>
        <w:spacing w:line="360" w:lineRule="exact"/>
        <w:rPr>
          <w:rFonts w:ascii="仿宋_GB2312" w:eastAsia="仿宋_GB2312"/>
          <w:sz w:val="28"/>
          <w:szCs w:val="28"/>
        </w:rPr>
      </w:pPr>
    </w:p>
    <w:p w14:paraId="52C4A811">
      <w:pPr>
        <w:spacing w:line="360" w:lineRule="exact"/>
        <w:ind w:firstLine="3220" w:firstLineChars="1150"/>
        <w:rPr>
          <w:rFonts w:ascii="仿宋_GB2312" w:eastAsia="仿宋_GB2312"/>
          <w:sz w:val="28"/>
          <w:szCs w:val="28"/>
        </w:rPr>
      </w:pPr>
      <w:r>
        <w:rPr>
          <w:rFonts w:hint="eastAsia" w:ascii="仿宋_GB2312" w:eastAsia="仿宋_GB2312"/>
          <w:sz w:val="28"/>
          <w:szCs w:val="28"/>
        </w:rPr>
        <w:t>法定代表人（签字或盖章）：</w:t>
      </w:r>
    </w:p>
    <w:p w14:paraId="35109972">
      <w:pPr>
        <w:spacing w:line="360" w:lineRule="exact"/>
        <w:rPr>
          <w:rFonts w:ascii="仿宋_GB2312" w:eastAsia="仿宋_GB2312"/>
          <w:sz w:val="28"/>
          <w:szCs w:val="28"/>
        </w:rPr>
      </w:pPr>
    </w:p>
    <w:p w14:paraId="7693AB6C">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邮政编码：         </w:t>
      </w:r>
    </w:p>
    <w:p w14:paraId="5221B907">
      <w:pPr>
        <w:spacing w:line="360" w:lineRule="exact"/>
        <w:ind w:firstLine="3220" w:firstLineChars="1150"/>
        <w:rPr>
          <w:rFonts w:ascii="仿宋_GB2312" w:eastAsia="仿宋_GB2312"/>
          <w:sz w:val="28"/>
          <w:szCs w:val="28"/>
        </w:rPr>
      </w:pPr>
    </w:p>
    <w:p w14:paraId="6DD70138">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电话：       </w:t>
      </w:r>
    </w:p>
    <w:p w14:paraId="3096F966">
      <w:pPr>
        <w:spacing w:line="360" w:lineRule="exact"/>
        <w:ind w:firstLine="3220" w:firstLineChars="1150"/>
        <w:rPr>
          <w:rFonts w:ascii="仿宋_GB2312" w:eastAsia="仿宋_GB2312"/>
          <w:sz w:val="28"/>
          <w:szCs w:val="28"/>
        </w:rPr>
      </w:pPr>
    </w:p>
    <w:p w14:paraId="473ACAA7">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传真：  </w:t>
      </w:r>
    </w:p>
    <w:p w14:paraId="1539EE36">
      <w:pPr>
        <w:spacing w:line="360" w:lineRule="exact"/>
        <w:rPr>
          <w:rFonts w:ascii="仿宋_GB2312" w:eastAsia="仿宋_GB2312"/>
          <w:sz w:val="28"/>
          <w:szCs w:val="28"/>
        </w:rPr>
      </w:pPr>
    </w:p>
    <w:p w14:paraId="78830A35">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开户银行名称： </w:t>
      </w:r>
    </w:p>
    <w:p w14:paraId="0B833D40">
      <w:pPr>
        <w:spacing w:line="360" w:lineRule="exact"/>
        <w:rPr>
          <w:rFonts w:ascii="仿宋_GB2312" w:eastAsia="仿宋_GB2312"/>
          <w:sz w:val="28"/>
          <w:szCs w:val="28"/>
        </w:rPr>
      </w:pPr>
    </w:p>
    <w:p w14:paraId="37E151E5">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开户银行帐号： </w:t>
      </w:r>
    </w:p>
    <w:p w14:paraId="4A40E92C">
      <w:pPr>
        <w:spacing w:line="360" w:lineRule="exact"/>
        <w:rPr>
          <w:rFonts w:ascii="仿宋_GB2312" w:eastAsia="仿宋_GB2312"/>
          <w:sz w:val="28"/>
          <w:szCs w:val="28"/>
        </w:rPr>
      </w:pPr>
    </w:p>
    <w:p w14:paraId="1D9821BA">
      <w:pPr>
        <w:spacing w:line="360" w:lineRule="exact"/>
        <w:jc w:val="center"/>
        <w:rPr>
          <w:rFonts w:ascii="仿宋_GB2312" w:eastAsia="仿宋_GB2312"/>
          <w:sz w:val="28"/>
          <w:szCs w:val="28"/>
        </w:rPr>
      </w:pPr>
      <w:r>
        <w:rPr>
          <w:rFonts w:hint="eastAsia" w:ascii="仿宋_GB2312" w:eastAsia="仿宋_GB2312"/>
          <w:sz w:val="28"/>
          <w:szCs w:val="28"/>
        </w:rPr>
        <w:t>开户银行地址：</w:t>
      </w:r>
    </w:p>
    <w:p w14:paraId="15421FD9">
      <w:pPr>
        <w:spacing w:line="360" w:lineRule="exact"/>
        <w:rPr>
          <w:rFonts w:ascii="仿宋_GB2312" w:eastAsia="仿宋_GB2312"/>
          <w:sz w:val="28"/>
          <w:szCs w:val="28"/>
        </w:rPr>
      </w:pPr>
    </w:p>
    <w:p w14:paraId="6ADE1075">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开户银行电话： </w:t>
      </w:r>
    </w:p>
    <w:p w14:paraId="584045AC">
      <w:pPr>
        <w:spacing w:line="360" w:lineRule="exact"/>
        <w:ind w:firstLine="600"/>
        <w:rPr>
          <w:rFonts w:ascii="仿宋_GB2312" w:eastAsia="仿宋_GB2312"/>
          <w:sz w:val="28"/>
          <w:szCs w:val="28"/>
        </w:rPr>
      </w:pPr>
    </w:p>
    <w:p w14:paraId="7C9DD7D2">
      <w:pPr>
        <w:spacing w:line="360" w:lineRule="exact"/>
        <w:jc w:val="right"/>
        <w:rPr>
          <w:rFonts w:ascii="仿宋_GB2312" w:eastAsia="仿宋_GB2312"/>
          <w:sz w:val="28"/>
          <w:szCs w:val="28"/>
        </w:rPr>
      </w:pPr>
      <w:r>
        <w:rPr>
          <w:rFonts w:hint="eastAsia" w:ascii="仿宋_GB2312" w:eastAsia="仿宋_GB2312"/>
          <w:sz w:val="28"/>
          <w:szCs w:val="28"/>
        </w:rPr>
        <w:t>日期：   年   月    日</w:t>
      </w:r>
    </w:p>
    <w:p w14:paraId="53EB2DD5">
      <w:pPr>
        <w:rPr>
          <w:rFonts w:ascii="仿宋_GB2312" w:eastAsia="仿宋_GB2312"/>
          <w:sz w:val="28"/>
          <w:szCs w:val="28"/>
        </w:rPr>
      </w:pPr>
    </w:p>
    <w:p w14:paraId="00078C49">
      <w:pPr>
        <w:rPr>
          <w:rFonts w:ascii="仿宋_GB2312" w:eastAsia="仿宋_GB2312"/>
          <w:sz w:val="28"/>
          <w:szCs w:val="28"/>
        </w:rPr>
      </w:pPr>
      <w:r>
        <w:rPr>
          <w:rFonts w:hint="eastAsia" w:ascii="仿宋_GB2312" w:eastAsia="仿宋_GB2312"/>
          <w:sz w:val="28"/>
          <w:szCs w:val="28"/>
        </w:rPr>
        <w:t>附件：投标报价清单</w:t>
      </w:r>
    </w:p>
    <w:p w14:paraId="00190201">
      <w:pPr>
        <w:rPr>
          <w:sz w:val="28"/>
          <w:szCs w:val="28"/>
        </w:rPr>
      </w:pPr>
    </w:p>
    <w:tbl>
      <w:tblPr>
        <w:tblStyle w:val="12"/>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3B1B5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82E0">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00D74689">
            <w:pPr>
              <w:jc w:val="center"/>
              <w:rPr>
                <w:rFonts w:ascii="宋体" w:hAnsi="宋体" w:eastAsia="仿宋_GB2312" w:cs="Arial"/>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1354B3BD">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14A05C58">
            <w:pPr>
              <w:jc w:val="center"/>
              <w:rPr>
                <w:rFonts w:ascii="宋体" w:hAnsi="宋体" w:eastAsia="仿宋_GB2312" w:cs="Arial"/>
                <w:sz w:val="28"/>
                <w:szCs w:val="28"/>
              </w:rPr>
            </w:pPr>
          </w:p>
        </w:tc>
      </w:tr>
      <w:tr w14:paraId="2F80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39AD3BE9">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17CE2A53">
            <w:pPr>
              <w:pStyle w:val="10"/>
              <w:shd w:val="clear" w:color="auto" w:fill="FFFFFF"/>
              <w:spacing w:line="304" w:lineRule="atLeast"/>
              <w:rPr>
                <w:rFonts w:ascii="仿宋_GB2312" w:hAnsi="inherit" w:eastAsia="仿宋_GB2312" w:cs="宋体"/>
                <w:kern w:val="2"/>
                <w:sz w:val="28"/>
                <w:szCs w:val="28"/>
                <w:lang w:val="en-US" w:eastAsia="zh-CN"/>
              </w:rPr>
            </w:pPr>
          </w:p>
        </w:tc>
        <w:tc>
          <w:tcPr>
            <w:tcW w:w="1417" w:type="dxa"/>
            <w:tcBorders>
              <w:top w:val="single" w:color="auto" w:sz="4" w:space="0"/>
              <w:left w:val="single" w:color="000000" w:sz="4" w:space="0"/>
              <w:bottom w:val="single" w:color="auto" w:sz="4" w:space="0"/>
              <w:right w:val="single" w:color="auto" w:sz="4" w:space="0"/>
            </w:tcBorders>
            <w:shd w:val="clear" w:color="FFFFFF" w:fill="auto"/>
            <w:vAlign w:val="top"/>
          </w:tcPr>
          <w:p w14:paraId="38A15C90">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vAlign w:val="top"/>
          </w:tcPr>
          <w:p w14:paraId="277173A8">
            <w:pPr>
              <w:jc w:val="center"/>
              <w:rPr>
                <w:rFonts w:ascii="宋体" w:hAnsi="宋体" w:eastAsia="仿宋_GB2312" w:cs="Arial"/>
                <w:sz w:val="28"/>
                <w:szCs w:val="28"/>
              </w:rPr>
            </w:pPr>
          </w:p>
        </w:tc>
      </w:tr>
      <w:tr w14:paraId="66558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03CE3F21">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9856D1E">
            <w:pPr>
              <w:pStyle w:val="10"/>
              <w:shd w:val="clear" w:color="auto" w:fill="FFFFFF"/>
              <w:spacing w:line="304" w:lineRule="atLeast"/>
              <w:rPr>
                <w:rFonts w:ascii="仿宋_GB2312" w:hAnsi="inherit" w:eastAsia="仿宋_GB2312" w:cs="宋体"/>
                <w:kern w:val="2"/>
                <w:sz w:val="28"/>
                <w:szCs w:val="28"/>
                <w:lang w:val="en-US" w:eastAsia="zh-CN"/>
              </w:rPr>
            </w:pPr>
          </w:p>
        </w:tc>
        <w:tc>
          <w:tcPr>
            <w:tcW w:w="1417" w:type="dxa"/>
            <w:tcBorders>
              <w:top w:val="single" w:color="auto" w:sz="4" w:space="0"/>
              <w:left w:val="single" w:color="000000" w:sz="4" w:space="0"/>
              <w:bottom w:val="single" w:color="auto" w:sz="4" w:space="0"/>
              <w:right w:val="single" w:color="auto" w:sz="4" w:space="0"/>
            </w:tcBorders>
            <w:shd w:val="clear" w:color="FFFFFF" w:fill="auto"/>
            <w:vAlign w:val="top"/>
          </w:tcPr>
          <w:p w14:paraId="40B620CF">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vAlign w:val="top"/>
          </w:tcPr>
          <w:p w14:paraId="1A0A9225">
            <w:pPr>
              <w:jc w:val="center"/>
              <w:rPr>
                <w:rFonts w:ascii="宋体" w:hAnsi="宋体" w:eastAsia="仿宋_GB2312" w:cs="Arial"/>
                <w:sz w:val="28"/>
                <w:szCs w:val="28"/>
              </w:rPr>
            </w:pPr>
          </w:p>
        </w:tc>
      </w:tr>
    </w:tbl>
    <w:p w14:paraId="49B99F39">
      <w:pPr>
        <w:jc w:val="center"/>
        <w:rPr>
          <w:sz w:val="28"/>
          <w:szCs w:val="28"/>
        </w:rPr>
      </w:pPr>
    </w:p>
    <w:p w14:paraId="379C2911">
      <w:pPr>
        <w:jc w:val="center"/>
        <w:rPr>
          <w:rFonts w:hint="eastAsia"/>
          <w:b/>
          <w:sz w:val="28"/>
          <w:szCs w:val="28"/>
        </w:rPr>
      </w:pPr>
    </w:p>
    <w:p w14:paraId="7ED41A00">
      <w:pPr>
        <w:jc w:val="center"/>
        <w:rPr>
          <w:rFonts w:hint="eastAsia"/>
          <w:b/>
          <w:sz w:val="28"/>
          <w:szCs w:val="28"/>
        </w:rPr>
      </w:pPr>
    </w:p>
    <w:p w14:paraId="376AA458">
      <w:pPr>
        <w:jc w:val="center"/>
        <w:rPr>
          <w:rFonts w:hint="eastAsia"/>
          <w:b/>
          <w:sz w:val="28"/>
          <w:szCs w:val="28"/>
        </w:rPr>
      </w:pPr>
    </w:p>
    <w:p w14:paraId="72C47F10">
      <w:pPr>
        <w:jc w:val="center"/>
        <w:rPr>
          <w:rFonts w:hint="eastAsia"/>
          <w:b/>
          <w:sz w:val="28"/>
          <w:szCs w:val="28"/>
        </w:rPr>
      </w:pPr>
    </w:p>
    <w:p w14:paraId="70872672">
      <w:pPr>
        <w:jc w:val="center"/>
        <w:rPr>
          <w:rFonts w:hint="eastAsia"/>
          <w:b/>
          <w:sz w:val="28"/>
          <w:szCs w:val="28"/>
        </w:rPr>
      </w:pPr>
    </w:p>
    <w:p w14:paraId="48C824E7">
      <w:pPr>
        <w:jc w:val="center"/>
        <w:rPr>
          <w:rFonts w:hint="eastAsia"/>
          <w:b/>
          <w:sz w:val="28"/>
          <w:szCs w:val="28"/>
        </w:rPr>
      </w:pPr>
    </w:p>
    <w:p w14:paraId="18CF4081">
      <w:pPr>
        <w:jc w:val="center"/>
        <w:rPr>
          <w:rFonts w:hint="eastAsia"/>
          <w:b/>
          <w:sz w:val="28"/>
          <w:szCs w:val="28"/>
        </w:rPr>
      </w:pPr>
    </w:p>
    <w:p w14:paraId="2EE5467F">
      <w:pPr>
        <w:jc w:val="center"/>
        <w:rPr>
          <w:rFonts w:hint="eastAsia"/>
          <w:b/>
          <w:sz w:val="28"/>
          <w:szCs w:val="28"/>
        </w:rPr>
      </w:pPr>
    </w:p>
    <w:p w14:paraId="73000163">
      <w:pPr>
        <w:jc w:val="center"/>
        <w:rPr>
          <w:rFonts w:hint="eastAsia"/>
          <w:b/>
          <w:sz w:val="28"/>
          <w:szCs w:val="28"/>
        </w:rPr>
      </w:pPr>
    </w:p>
    <w:p w14:paraId="65C3E547">
      <w:pPr>
        <w:jc w:val="center"/>
        <w:rPr>
          <w:b/>
          <w:sz w:val="28"/>
          <w:szCs w:val="28"/>
        </w:rPr>
      </w:pPr>
      <w:r>
        <w:rPr>
          <w:rFonts w:hint="eastAsia"/>
          <w:b/>
          <w:sz w:val="28"/>
          <w:szCs w:val="28"/>
        </w:rPr>
        <w:t>二、投标委托代表人资格证明书</w:t>
      </w:r>
    </w:p>
    <w:p w14:paraId="72FF22AC">
      <w:pPr>
        <w:rPr>
          <w:sz w:val="28"/>
          <w:szCs w:val="28"/>
        </w:rPr>
      </w:pPr>
    </w:p>
    <w:p w14:paraId="377B4A5C">
      <w:pPr>
        <w:spacing w:line="360" w:lineRule="auto"/>
        <w:rPr>
          <w:rFonts w:ascii="仿宋_GB2312" w:eastAsia="仿宋_GB2312"/>
          <w:sz w:val="28"/>
          <w:szCs w:val="28"/>
          <w:u w:val="single"/>
        </w:rPr>
      </w:pPr>
      <w:r>
        <w:rPr>
          <w:rFonts w:hint="eastAsia" w:ascii="仿宋_GB2312" w:eastAsia="仿宋_GB2312"/>
          <w:sz w:val="28"/>
          <w:szCs w:val="28"/>
        </w:rPr>
        <w:t>单位名称：</w:t>
      </w:r>
    </w:p>
    <w:p w14:paraId="191A488C">
      <w:pPr>
        <w:spacing w:line="360" w:lineRule="auto"/>
        <w:rPr>
          <w:rFonts w:ascii="仿宋_GB2312" w:eastAsia="仿宋_GB2312"/>
          <w:sz w:val="28"/>
          <w:szCs w:val="28"/>
          <w:u w:val="single"/>
        </w:rPr>
      </w:pPr>
      <w:r>
        <w:rPr>
          <w:rFonts w:hint="eastAsia" w:ascii="仿宋_GB2312" w:eastAsia="仿宋_GB2312"/>
          <w:sz w:val="28"/>
          <w:szCs w:val="28"/>
        </w:rPr>
        <w:t>地址：</w:t>
      </w:r>
    </w:p>
    <w:p w14:paraId="6D169084">
      <w:pPr>
        <w:spacing w:line="360" w:lineRule="auto"/>
        <w:rPr>
          <w:rFonts w:ascii="仿宋_GB2312" w:eastAsia="仿宋_GB2312"/>
          <w:sz w:val="28"/>
          <w:szCs w:val="28"/>
        </w:rPr>
      </w:pPr>
      <w:r>
        <w:rPr>
          <w:rFonts w:hint="eastAsia" w:ascii="仿宋_GB2312" w:eastAsia="仿宋_GB2312"/>
          <w:sz w:val="28"/>
          <w:szCs w:val="28"/>
        </w:rPr>
        <w:t>姓名：    性别：年龄：  职务：   系委托代表人。为施工、竣工和保修项目，签署上述项目的投标文件、进行合同谈判、签署合同和处理与之有关的一切事务。</w:t>
      </w:r>
    </w:p>
    <w:p w14:paraId="7010A441">
      <w:pPr>
        <w:spacing w:line="360" w:lineRule="auto"/>
        <w:rPr>
          <w:rFonts w:ascii="仿宋_GB2312" w:eastAsia="仿宋_GB2312"/>
          <w:sz w:val="28"/>
          <w:szCs w:val="28"/>
        </w:rPr>
      </w:pPr>
    </w:p>
    <w:p w14:paraId="7A8EF957">
      <w:pPr>
        <w:spacing w:line="360" w:lineRule="auto"/>
        <w:ind w:firstLine="5460" w:firstLineChars="1950"/>
        <w:rPr>
          <w:rFonts w:ascii="仿宋_GB2312" w:eastAsia="仿宋_GB2312"/>
          <w:sz w:val="28"/>
          <w:szCs w:val="28"/>
        </w:rPr>
      </w:pPr>
      <w:r>
        <w:rPr>
          <w:rFonts w:hint="eastAsia" w:ascii="仿宋_GB2312" w:eastAsia="仿宋_GB2312"/>
          <w:sz w:val="28"/>
          <w:szCs w:val="28"/>
        </w:rPr>
        <w:t xml:space="preserve">投标人（盖章）：   </w:t>
      </w:r>
    </w:p>
    <w:p w14:paraId="4D7B8F2D">
      <w:pPr>
        <w:spacing w:line="360" w:lineRule="auto"/>
        <w:ind w:firstLine="5740" w:firstLineChars="2050"/>
        <w:rPr>
          <w:rFonts w:ascii="仿宋_GB2312" w:eastAsia="仿宋_GB2312"/>
          <w:sz w:val="28"/>
          <w:szCs w:val="28"/>
        </w:rPr>
      </w:pPr>
      <w:r>
        <w:rPr>
          <w:rFonts w:hint="eastAsia" w:ascii="仿宋_GB2312" w:eastAsia="仿宋_GB2312"/>
          <w:sz w:val="28"/>
          <w:szCs w:val="28"/>
        </w:rPr>
        <w:t>年   月  日</w:t>
      </w:r>
    </w:p>
    <w:p w14:paraId="676D5D48">
      <w:pPr>
        <w:jc w:val="center"/>
        <w:rPr>
          <w:rFonts w:hint="eastAsia"/>
          <w:b/>
          <w:sz w:val="28"/>
          <w:szCs w:val="28"/>
        </w:rPr>
      </w:pPr>
    </w:p>
    <w:p w14:paraId="4061FA1A">
      <w:pPr>
        <w:jc w:val="center"/>
        <w:rPr>
          <w:rFonts w:hint="eastAsia"/>
          <w:b/>
          <w:sz w:val="28"/>
          <w:szCs w:val="28"/>
        </w:rPr>
      </w:pPr>
    </w:p>
    <w:p w14:paraId="04AD7AE8">
      <w:pPr>
        <w:pStyle w:val="4"/>
        <w:rPr>
          <w:rFonts w:hint="eastAsia"/>
          <w:b/>
          <w:sz w:val="28"/>
          <w:szCs w:val="28"/>
        </w:rPr>
      </w:pPr>
    </w:p>
    <w:p w14:paraId="06BE6574">
      <w:pPr>
        <w:rPr>
          <w:rFonts w:hint="eastAsia"/>
          <w:b/>
          <w:sz w:val="28"/>
          <w:szCs w:val="28"/>
        </w:rPr>
      </w:pPr>
    </w:p>
    <w:p w14:paraId="0431241B">
      <w:pPr>
        <w:pStyle w:val="4"/>
        <w:rPr>
          <w:rFonts w:hint="eastAsia"/>
          <w:b/>
          <w:sz w:val="28"/>
          <w:szCs w:val="28"/>
        </w:rPr>
      </w:pPr>
    </w:p>
    <w:p w14:paraId="19130B8A">
      <w:pPr>
        <w:rPr>
          <w:rFonts w:hint="eastAsia"/>
          <w:b/>
          <w:sz w:val="28"/>
          <w:szCs w:val="28"/>
        </w:rPr>
      </w:pPr>
    </w:p>
    <w:p w14:paraId="3A634813">
      <w:pPr>
        <w:pStyle w:val="4"/>
        <w:rPr>
          <w:rFonts w:hint="eastAsia"/>
          <w:b/>
          <w:sz w:val="28"/>
          <w:szCs w:val="28"/>
        </w:rPr>
      </w:pPr>
    </w:p>
    <w:p w14:paraId="65418648">
      <w:pPr>
        <w:rPr>
          <w:rFonts w:hint="eastAsia"/>
          <w:b/>
          <w:sz w:val="28"/>
          <w:szCs w:val="28"/>
        </w:rPr>
      </w:pPr>
    </w:p>
    <w:p w14:paraId="27160230">
      <w:pPr>
        <w:pStyle w:val="4"/>
        <w:rPr>
          <w:rFonts w:hint="eastAsia"/>
          <w:b/>
          <w:sz w:val="28"/>
          <w:szCs w:val="28"/>
        </w:rPr>
      </w:pPr>
    </w:p>
    <w:p w14:paraId="0C4AC099">
      <w:pPr>
        <w:rPr>
          <w:rFonts w:hint="eastAsia"/>
          <w:b/>
          <w:sz w:val="28"/>
          <w:szCs w:val="28"/>
        </w:rPr>
      </w:pPr>
    </w:p>
    <w:p w14:paraId="361D0731">
      <w:pPr>
        <w:pStyle w:val="4"/>
        <w:rPr>
          <w:rFonts w:hint="eastAsia"/>
          <w:b/>
          <w:sz w:val="28"/>
          <w:szCs w:val="28"/>
        </w:rPr>
      </w:pPr>
    </w:p>
    <w:p w14:paraId="54261FAD">
      <w:pPr>
        <w:rPr>
          <w:rFonts w:hint="eastAsia"/>
        </w:rPr>
      </w:pPr>
    </w:p>
    <w:p w14:paraId="2FE33CC9">
      <w:pPr>
        <w:jc w:val="center"/>
        <w:rPr>
          <w:b/>
          <w:sz w:val="28"/>
          <w:szCs w:val="28"/>
        </w:rPr>
      </w:pPr>
      <w:r>
        <w:rPr>
          <w:rFonts w:hint="eastAsia"/>
          <w:b/>
          <w:sz w:val="28"/>
          <w:szCs w:val="28"/>
        </w:rPr>
        <w:t>三、投标承诺书</w:t>
      </w:r>
    </w:p>
    <w:p w14:paraId="41718B0B">
      <w:pPr>
        <w:tabs>
          <w:tab w:val="left" w:pos="5355"/>
        </w:tabs>
        <w:spacing w:before="100" w:beforeAutospacing="1" w:after="100" w:afterAutospacing="1" w:line="480" w:lineRule="auto"/>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05D340EA">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445BA8C8">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我司承诺福建省肿瘤医院在授予我司合同时有权利增加补充相关内容。</w:t>
      </w:r>
    </w:p>
    <w:p w14:paraId="6ACABB46">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投标人名称（全称并加公章）：</w:t>
      </w:r>
    </w:p>
    <w:p w14:paraId="1E50CED6">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投标人代表签字：</w:t>
      </w:r>
    </w:p>
    <w:p w14:paraId="0FBBDA43">
      <w:pPr>
        <w:tabs>
          <w:tab w:val="left" w:pos="5355"/>
        </w:tabs>
        <w:spacing w:before="100" w:beforeAutospacing="1" w:after="100" w:afterAutospacing="1" w:line="480" w:lineRule="auto"/>
        <w:rPr>
          <w:b/>
          <w:sz w:val="28"/>
          <w:szCs w:val="28"/>
        </w:rPr>
      </w:pPr>
      <w:r>
        <w:rPr>
          <w:rFonts w:hint="eastAsia" w:ascii="仿宋_GB2312" w:hAnsi="宋体" w:eastAsia="仿宋_GB2312" w:cs="宋体"/>
          <w:sz w:val="28"/>
          <w:szCs w:val="28"/>
        </w:rPr>
        <w:t>日期：     年    月   日</w:t>
      </w:r>
    </w:p>
    <w:p w14:paraId="400F7887">
      <w:pPr>
        <w:spacing w:line="380" w:lineRule="exact"/>
        <w:rPr>
          <w:rFonts w:ascii="宋体" w:hAnsi="宋体" w:eastAsia="仿宋_GB2312"/>
          <w:sz w:val="28"/>
          <w:szCs w:val="28"/>
        </w:rPr>
      </w:pPr>
    </w:p>
    <w:p w14:paraId="288AAEE9">
      <w:pPr>
        <w:spacing w:line="380" w:lineRule="exact"/>
        <w:rPr>
          <w:rFonts w:ascii="宋体" w:hAnsi="宋体" w:eastAsia="仿宋_GB2312"/>
          <w:sz w:val="28"/>
          <w:szCs w:val="28"/>
        </w:rPr>
      </w:pPr>
    </w:p>
    <w:p w14:paraId="7B0A6AA3">
      <w:pPr>
        <w:jc w:val="center"/>
        <w:rPr>
          <w:rFonts w:ascii="宋体" w:hAnsi="宋体" w:eastAsia="宋体"/>
          <w:b/>
          <w:sz w:val="28"/>
          <w:szCs w:val="28"/>
        </w:rPr>
      </w:pPr>
    </w:p>
    <w:p w14:paraId="3ED7D3C2">
      <w:pPr>
        <w:jc w:val="center"/>
        <w:rPr>
          <w:rFonts w:ascii="宋体" w:hAnsi="宋体" w:eastAsia="宋体"/>
          <w:b/>
          <w:sz w:val="28"/>
          <w:szCs w:val="28"/>
        </w:rPr>
      </w:pPr>
    </w:p>
    <w:p w14:paraId="61CA9E87">
      <w:pPr>
        <w:jc w:val="center"/>
        <w:rPr>
          <w:rFonts w:ascii="宋体" w:hAnsi="宋体" w:eastAsia="宋体"/>
          <w:b/>
          <w:sz w:val="28"/>
          <w:szCs w:val="28"/>
        </w:rPr>
      </w:pPr>
    </w:p>
    <w:p w14:paraId="5CC9F851">
      <w:pPr>
        <w:jc w:val="center"/>
        <w:rPr>
          <w:rFonts w:ascii="宋体" w:hAnsi="宋体" w:eastAsia="宋体"/>
          <w:b/>
          <w:sz w:val="28"/>
          <w:szCs w:val="28"/>
        </w:rPr>
      </w:pPr>
    </w:p>
    <w:p w14:paraId="32450C8B">
      <w:pPr>
        <w:jc w:val="center"/>
        <w:rPr>
          <w:rFonts w:ascii="宋体" w:hAnsi="宋体" w:eastAsia="宋体"/>
          <w:b/>
          <w:sz w:val="28"/>
          <w:szCs w:val="28"/>
        </w:rPr>
      </w:pPr>
    </w:p>
    <w:p w14:paraId="6BE51E3F">
      <w:pPr>
        <w:jc w:val="center"/>
        <w:rPr>
          <w:rFonts w:ascii="宋体" w:hAnsi="宋体" w:eastAsia="宋体"/>
          <w:b/>
          <w:sz w:val="28"/>
          <w:szCs w:val="28"/>
        </w:rPr>
      </w:pPr>
    </w:p>
    <w:p w14:paraId="146457E2">
      <w:pPr>
        <w:jc w:val="center"/>
        <w:rPr>
          <w:rFonts w:hint="eastAsia" w:ascii="宋体" w:hAnsi="宋体" w:eastAsia="宋体"/>
          <w:b/>
          <w:sz w:val="28"/>
          <w:szCs w:val="28"/>
        </w:rPr>
      </w:pPr>
      <w:r>
        <w:rPr>
          <w:rFonts w:ascii="宋体" w:hAnsi="宋体" w:eastAsia="宋体"/>
          <w:b/>
          <w:sz w:val="28"/>
          <w:szCs w:val="28"/>
        </w:rPr>
        <w:t>四、采购供应商资格承诺函</w:t>
      </w:r>
    </w:p>
    <w:p w14:paraId="0385A4CF">
      <w:pPr>
        <w:pStyle w:val="18"/>
        <w:ind w:firstLine="480"/>
        <w:rPr>
          <w:rFonts w:ascii="宋体" w:hAnsi="宋体" w:eastAsia="宋体" w:cs="宋体"/>
          <w:bCs/>
          <w:sz w:val="28"/>
          <w:szCs w:val="28"/>
        </w:rPr>
      </w:pPr>
      <w:r>
        <w:rPr>
          <w:rFonts w:ascii="宋体" w:hAnsi="宋体" w:eastAsia="宋体" w:cs="宋体"/>
          <w:bCs/>
          <w:sz w:val="28"/>
          <w:szCs w:val="28"/>
        </w:rPr>
        <w:t>致：（采购人或采购代理机构）</w:t>
      </w:r>
    </w:p>
    <w:p w14:paraId="3226763E">
      <w:pPr>
        <w:pStyle w:val="18"/>
        <w:ind w:firstLine="960"/>
        <w:rPr>
          <w:rFonts w:ascii="宋体" w:hAnsi="宋体" w:eastAsia="宋体" w:cs="宋体"/>
          <w:bCs/>
          <w:sz w:val="28"/>
          <w:szCs w:val="28"/>
        </w:rPr>
      </w:pPr>
      <w:r>
        <w:rPr>
          <w:rFonts w:ascii="宋体" w:hAnsi="宋体" w:eastAsia="宋体" w:cs="宋体"/>
          <w:bCs/>
          <w:sz w:val="28"/>
          <w:szCs w:val="28"/>
        </w:rPr>
        <w:t>单位名称(自然人姓名):</w:t>
      </w:r>
    </w:p>
    <w:p w14:paraId="7C93F4F9">
      <w:pPr>
        <w:pStyle w:val="18"/>
        <w:ind w:firstLine="960"/>
        <w:rPr>
          <w:rFonts w:ascii="宋体" w:hAnsi="宋体" w:eastAsia="宋体" w:cs="宋体"/>
          <w:bCs/>
          <w:sz w:val="28"/>
          <w:szCs w:val="28"/>
        </w:rPr>
      </w:pPr>
      <w:r>
        <w:rPr>
          <w:rFonts w:ascii="宋体" w:hAnsi="宋体" w:eastAsia="宋体" w:cs="宋体"/>
          <w:bCs/>
          <w:sz w:val="28"/>
          <w:szCs w:val="28"/>
        </w:rPr>
        <w:t>统一社会信用代码(自然人身份证号码):</w:t>
      </w:r>
    </w:p>
    <w:p w14:paraId="3D1864DD">
      <w:pPr>
        <w:pStyle w:val="18"/>
        <w:ind w:firstLine="960"/>
        <w:rPr>
          <w:rFonts w:ascii="宋体" w:hAnsi="宋体" w:eastAsia="宋体" w:cs="宋体"/>
          <w:bCs/>
          <w:sz w:val="28"/>
          <w:szCs w:val="28"/>
        </w:rPr>
      </w:pPr>
      <w:r>
        <w:rPr>
          <w:rFonts w:ascii="宋体" w:hAnsi="宋体" w:eastAsia="宋体" w:cs="宋体"/>
          <w:bCs/>
          <w:sz w:val="28"/>
          <w:szCs w:val="28"/>
        </w:rPr>
        <w:t>法定代表人(负责人):</w:t>
      </w:r>
    </w:p>
    <w:p w14:paraId="4A695F87">
      <w:pPr>
        <w:pStyle w:val="18"/>
        <w:ind w:firstLine="960"/>
        <w:rPr>
          <w:rFonts w:ascii="宋体" w:hAnsi="宋体" w:eastAsia="宋体" w:cs="宋体"/>
          <w:bCs/>
          <w:sz w:val="28"/>
          <w:szCs w:val="28"/>
        </w:rPr>
      </w:pPr>
      <w:r>
        <w:rPr>
          <w:rFonts w:ascii="宋体" w:hAnsi="宋体" w:eastAsia="宋体" w:cs="宋体"/>
          <w:bCs/>
          <w:sz w:val="28"/>
          <w:szCs w:val="28"/>
        </w:rPr>
        <w:t>联系地址和电话:</w:t>
      </w:r>
    </w:p>
    <w:p w14:paraId="76972FB2">
      <w:pPr>
        <w:pStyle w:val="18"/>
        <w:ind w:firstLine="480"/>
        <w:rPr>
          <w:rFonts w:ascii="宋体" w:hAnsi="宋体" w:eastAsia="宋体" w:cs="宋体"/>
          <w:bCs/>
          <w:sz w:val="28"/>
          <w:szCs w:val="28"/>
        </w:rPr>
      </w:pPr>
      <w:r>
        <w:rPr>
          <w:rFonts w:ascii="宋体" w:hAnsi="宋体" w:eastAsia="宋体" w:cs="宋体"/>
          <w:bCs/>
          <w:sz w:val="28"/>
          <w:szCs w:val="28"/>
        </w:rPr>
        <w:t>我单位(本人)自愿参加本次政府采购活动，严格遵守《中华人民共和国政府采购法》及相关法律法规，坚守公开、公平公正和诚实信用等原则，依法诚信经营，并郑重承诺:</w:t>
      </w:r>
    </w:p>
    <w:p w14:paraId="3F99B30F">
      <w:pPr>
        <w:pStyle w:val="18"/>
        <w:ind w:firstLine="480"/>
        <w:rPr>
          <w:rFonts w:ascii="宋体" w:hAnsi="宋体" w:eastAsia="宋体" w:cs="宋体"/>
          <w:bCs/>
          <w:sz w:val="28"/>
          <w:szCs w:val="28"/>
        </w:rPr>
      </w:pPr>
      <w:r>
        <w:rPr>
          <w:rFonts w:ascii="宋体" w:hAnsi="宋体" w:eastAsia="宋体" w:cs="宋体"/>
          <w:bCs/>
          <w:sz w:val="28"/>
          <w:szCs w:val="28"/>
        </w:rPr>
        <w:t>一、我单位(本人)具备采购文件要求以及《中华人民共和国政府采购法》第二十二条规定的条件:</w:t>
      </w:r>
    </w:p>
    <w:p w14:paraId="254681EA">
      <w:pPr>
        <w:pStyle w:val="18"/>
        <w:ind w:firstLine="960"/>
        <w:rPr>
          <w:rFonts w:ascii="宋体" w:hAnsi="宋体" w:eastAsia="宋体" w:cs="宋体"/>
          <w:bCs/>
          <w:sz w:val="28"/>
          <w:szCs w:val="28"/>
        </w:rPr>
      </w:pPr>
      <w:r>
        <w:rPr>
          <w:rFonts w:ascii="宋体" w:hAnsi="宋体" w:eastAsia="宋体" w:cs="宋体"/>
          <w:bCs/>
          <w:sz w:val="28"/>
          <w:szCs w:val="28"/>
        </w:rPr>
        <w:t>1.具有独立承担民事责任的能力;</w:t>
      </w:r>
    </w:p>
    <w:p w14:paraId="1504AE53">
      <w:pPr>
        <w:pStyle w:val="18"/>
        <w:ind w:firstLine="960"/>
        <w:rPr>
          <w:rFonts w:ascii="宋体" w:hAnsi="宋体" w:eastAsia="宋体" w:cs="宋体"/>
          <w:bCs/>
          <w:sz w:val="28"/>
          <w:szCs w:val="28"/>
        </w:rPr>
      </w:pPr>
      <w:r>
        <w:rPr>
          <w:rFonts w:ascii="宋体" w:hAnsi="宋体" w:eastAsia="宋体" w:cs="宋体"/>
          <w:bCs/>
          <w:sz w:val="28"/>
          <w:szCs w:val="28"/>
        </w:rPr>
        <w:t>2.具有良好的商业信誉和健全的财务会计制度;</w:t>
      </w:r>
    </w:p>
    <w:p w14:paraId="7BF9CDF6">
      <w:pPr>
        <w:pStyle w:val="18"/>
        <w:ind w:firstLine="960"/>
        <w:rPr>
          <w:rFonts w:ascii="宋体" w:hAnsi="宋体" w:eastAsia="宋体" w:cs="宋体"/>
          <w:bCs/>
          <w:sz w:val="28"/>
          <w:szCs w:val="28"/>
        </w:rPr>
      </w:pPr>
      <w:r>
        <w:rPr>
          <w:rFonts w:ascii="宋体" w:hAnsi="宋体" w:eastAsia="宋体" w:cs="宋体"/>
          <w:bCs/>
          <w:sz w:val="28"/>
          <w:szCs w:val="28"/>
        </w:rPr>
        <w:t>3.具有履行合同所必需的设备和专业技术能力;</w:t>
      </w:r>
    </w:p>
    <w:p w14:paraId="3A008386">
      <w:pPr>
        <w:pStyle w:val="18"/>
        <w:ind w:firstLine="960"/>
        <w:rPr>
          <w:rFonts w:ascii="宋体" w:hAnsi="宋体" w:eastAsia="宋体" w:cs="宋体"/>
          <w:bCs/>
          <w:sz w:val="28"/>
          <w:szCs w:val="28"/>
        </w:rPr>
      </w:pPr>
      <w:r>
        <w:rPr>
          <w:rFonts w:ascii="宋体" w:hAnsi="宋体" w:eastAsia="宋体" w:cs="宋体"/>
          <w:bCs/>
          <w:sz w:val="28"/>
          <w:szCs w:val="28"/>
        </w:rPr>
        <w:t>4.有依法缴纳税收和社会保障资金的良好记录;</w:t>
      </w:r>
    </w:p>
    <w:p w14:paraId="36041964">
      <w:pPr>
        <w:pStyle w:val="18"/>
        <w:ind w:firstLine="960"/>
        <w:rPr>
          <w:rFonts w:ascii="宋体" w:hAnsi="宋体" w:eastAsia="宋体" w:cs="宋体"/>
          <w:bCs/>
          <w:sz w:val="28"/>
          <w:szCs w:val="28"/>
        </w:rPr>
      </w:pPr>
      <w:r>
        <w:rPr>
          <w:rFonts w:ascii="宋体" w:hAnsi="宋体" w:eastAsia="宋体" w:cs="宋体"/>
          <w:bCs/>
          <w:sz w:val="28"/>
          <w:szCs w:val="28"/>
        </w:rPr>
        <w:t>5.参加政府采购活动前三年内，在经营活动中没有重大违法记录；</w:t>
      </w:r>
    </w:p>
    <w:p w14:paraId="63868C7F">
      <w:pPr>
        <w:pStyle w:val="18"/>
        <w:ind w:firstLine="960"/>
        <w:rPr>
          <w:rFonts w:ascii="宋体" w:hAnsi="宋体" w:eastAsia="宋体" w:cs="宋体"/>
          <w:bCs/>
          <w:sz w:val="28"/>
          <w:szCs w:val="28"/>
        </w:rPr>
      </w:pPr>
      <w:r>
        <w:rPr>
          <w:rFonts w:ascii="宋体" w:hAnsi="宋体" w:eastAsia="宋体" w:cs="宋体"/>
          <w:bCs/>
          <w:sz w:val="28"/>
          <w:szCs w:val="28"/>
        </w:rPr>
        <w:t>6.法律、行政法规规定的其他条件。</w:t>
      </w:r>
    </w:p>
    <w:p w14:paraId="1EC36A60">
      <w:pPr>
        <w:pStyle w:val="18"/>
        <w:ind w:firstLine="480"/>
        <w:rPr>
          <w:rFonts w:ascii="宋体" w:hAnsi="宋体" w:eastAsia="宋体" w:cs="宋体"/>
          <w:bCs/>
          <w:sz w:val="28"/>
          <w:szCs w:val="28"/>
        </w:rPr>
      </w:pPr>
      <w:r>
        <w:rPr>
          <w:rFonts w:ascii="宋体" w:hAnsi="宋体" w:eastAsia="宋体" w:cs="宋体"/>
          <w:bCs/>
          <w:sz w:val="28"/>
          <w:szCs w:val="28"/>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181200E">
      <w:pPr>
        <w:pStyle w:val="18"/>
        <w:ind w:firstLine="480"/>
        <w:rPr>
          <w:rFonts w:ascii="宋体" w:hAnsi="宋体" w:eastAsia="宋体" w:cs="宋体"/>
          <w:bCs/>
          <w:sz w:val="28"/>
          <w:szCs w:val="28"/>
        </w:rPr>
      </w:pPr>
      <w:r>
        <w:rPr>
          <w:rFonts w:ascii="宋体" w:hAnsi="宋体" w:eastAsia="宋体" w:cs="宋体"/>
          <w:bCs/>
          <w:sz w:val="28"/>
          <w:szCs w:val="28"/>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19A03BC">
      <w:pPr>
        <w:pStyle w:val="18"/>
        <w:ind w:firstLine="480"/>
        <w:jc w:val="right"/>
        <w:rPr>
          <w:rFonts w:ascii="宋体" w:hAnsi="宋体" w:eastAsia="宋体" w:cs="宋体"/>
          <w:bCs/>
          <w:sz w:val="28"/>
          <w:szCs w:val="28"/>
        </w:rPr>
      </w:pPr>
      <w:r>
        <w:rPr>
          <w:rFonts w:ascii="宋体" w:hAnsi="宋体" w:eastAsia="宋体" w:cs="宋体"/>
          <w:bCs/>
          <w:sz w:val="28"/>
          <w:szCs w:val="28"/>
        </w:rPr>
        <w:t>供应商：名称(单位公章):</w:t>
      </w:r>
    </w:p>
    <w:p w14:paraId="2875488B">
      <w:pPr>
        <w:pStyle w:val="18"/>
        <w:ind w:firstLine="480"/>
        <w:jc w:val="right"/>
        <w:rPr>
          <w:rFonts w:ascii="宋体" w:hAnsi="宋体" w:eastAsia="宋体" w:cs="宋体"/>
          <w:bCs/>
          <w:sz w:val="28"/>
          <w:szCs w:val="28"/>
        </w:rPr>
      </w:pPr>
      <w:r>
        <w:rPr>
          <w:rFonts w:ascii="宋体" w:hAnsi="宋体" w:eastAsia="宋体" w:cs="宋体"/>
          <w:bCs/>
          <w:sz w:val="28"/>
          <w:szCs w:val="28"/>
        </w:rPr>
        <w:t>日期：　　年　　月　　日</w:t>
      </w:r>
    </w:p>
    <w:p w14:paraId="49305714">
      <w:pPr>
        <w:pStyle w:val="18"/>
        <w:ind w:firstLine="480"/>
        <w:rPr>
          <w:rFonts w:ascii="宋体" w:hAnsi="宋体" w:eastAsia="宋体" w:cs="宋体"/>
          <w:bCs/>
          <w:sz w:val="28"/>
          <w:szCs w:val="28"/>
        </w:rPr>
      </w:pPr>
      <w:r>
        <w:rPr>
          <w:rFonts w:ascii="宋体" w:hAnsi="宋体" w:eastAsia="宋体" w:cs="宋体"/>
          <w:bCs/>
          <w:sz w:val="28"/>
          <w:szCs w:val="28"/>
        </w:rPr>
        <w:t>注：</w:t>
      </w:r>
    </w:p>
    <w:p w14:paraId="5AD93842">
      <w:pPr>
        <w:pStyle w:val="18"/>
        <w:ind w:firstLine="960"/>
        <w:rPr>
          <w:rFonts w:ascii="宋体" w:hAnsi="宋体" w:eastAsia="宋体" w:cs="宋体"/>
          <w:bCs/>
          <w:sz w:val="28"/>
          <w:szCs w:val="28"/>
        </w:rPr>
      </w:pPr>
      <w:r>
        <w:rPr>
          <w:rFonts w:ascii="宋体" w:hAnsi="宋体" w:eastAsia="宋体" w:cs="宋体"/>
          <w:bCs/>
          <w:sz w:val="28"/>
          <w:szCs w:val="28"/>
        </w:rPr>
        <w:t>1.我单位(本人)专指参加政府采购活动的供应商(含自然人)；</w:t>
      </w:r>
    </w:p>
    <w:p w14:paraId="263A7970">
      <w:pPr>
        <w:pStyle w:val="18"/>
        <w:ind w:firstLine="960"/>
        <w:rPr>
          <w:rFonts w:ascii="宋体" w:hAnsi="宋体" w:eastAsia="宋体" w:cs="宋体"/>
          <w:bCs/>
          <w:sz w:val="28"/>
          <w:szCs w:val="28"/>
        </w:rPr>
      </w:pPr>
      <w:r>
        <w:rPr>
          <w:rFonts w:ascii="宋体" w:hAnsi="宋体" w:eastAsia="宋体" w:cs="宋体"/>
          <w:bCs/>
          <w:sz w:val="28"/>
          <w:szCs w:val="28"/>
        </w:rPr>
        <w:t>2.资格承诺的供应商应在投标(响应)文件中按此模板提供承诺函，否则，视为未按照招标文件规定提交投标人的资格及资信文件，按资格审查不通过处理。</w:t>
      </w:r>
    </w:p>
    <w:p w14:paraId="6AE260E7">
      <w:pPr>
        <w:pStyle w:val="4"/>
      </w:pPr>
    </w:p>
    <w:p w14:paraId="422296FE"/>
    <w:p w14:paraId="0F69D173">
      <w:pPr>
        <w:pStyle w:val="4"/>
      </w:pPr>
    </w:p>
    <w:p w14:paraId="6BE90FD0"/>
    <w:p w14:paraId="488588CD">
      <w:pPr>
        <w:pStyle w:val="4"/>
      </w:pPr>
    </w:p>
    <w:p w14:paraId="04359D55"/>
    <w:p w14:paraId="5A510136">
      <w:pPr>
        <w:pStyle w:val="15"/>
      </w:pPr>
    </w:p>
    <w:p w14:paraId="7ABC0F5B"/>
    <w:p w14:paraId="392B7491">
      <w:pPr>
        <w:pStyle w:val="4"/>
      </w:pPr>
    </w:p>
    <w:p w14:paraId="0FB38EC3">
      <w:pPr>
        <w:spacing w:line="380" w:lineRule="exact"/>
        <w:jc w:val="center"/>
        <w:rPr>
          <w:rFonts w:ascii="宋体" w:hAnsi="宋体"/>
          <w:b/>
          <w:sz w:val="28"/>
          <w:szCs w:val="28"/>
        </w:rPr>
      </w:pPr>
      <w:r>
        <w:rPr>
          <w:rFonts w:hint="eastAsia" w:ascii="宋体" w:hAnsi="宋体"/>
          <w:b/>
          <w:sz w:val="28"/>
          <w:szCs w:val="28"/>
          <w:lang w:val="en-US" w:eastAsia="zh-CN"/>
        </w:rPr>
        <w:t>五</w:t>
      </w:r>
      <w:r>
        <w:rPr>
          <w:rFonts w:hint="eastAsia" w:ascii="宋体" w:hAnsi="宋体"/>
          <w:b/>
          <w:sz w:val="28"/>
          <w:szCs w:val="28"/>
        </w:rPr>
        <w:t>、投标方案</w:t>
      </w:r>
    </w:p>
    <w:p w14:paraId="2EF80E8A">
      <w:pPr>
        <w:spacing w:line="380" w:lineRule="exact"/>
        <w:ind w:firstLine="560" w:firstLineChars="200"/>
        <w:rPr>
          <w:rFonts w:ascii="宋体" w:hAnsi="宋体" w:eastAsia="仿宋_GB2312"/>
          <w:sz w:val="28"/>
          <w:szCs w:val="28"/>
        </w:rPr>
      </w:pPr>
    </w:p>
    <w:p w14:paraId="7AD9A971">
      <w:pPr>
        <w:tabs>
          <w:tab w:val="left" w:pos="1600"/>
        </w:tabs>
        <w:spacing w:line="560" w:lineRule="exact"/>
        <w:ind w:left="330" w:firstLine="240"/>
        <w:jc w:val="center"/>
        <w:rPr>
          <w:rFonts w:ascii="宋体" w:hAnsi="宋体"/>
          <w:b/>
          <w:sz w:val="30"/>
          <w:szCs w:val="30"/>
        </w:rPr>
      </w:pPr>
      <w:r>
        <w:rPr>
          <w:rFonts w:hint="eastAsia" w:ascii="宋体" w:hAnsi="宋体"/>
          <w:b/>
          <w:sz w:val="30"/>
          <w:szCs w:val="30"/>
          <w:lang w:val="en-US" w:eastAsia="zh-CN"/>
        </w:rPr>
        <w:t>六</w:t>
      </w:r>
      <w:r>
        <w:rPr>
          <w:rFonts w:hint="eastAsia" w:ascii="宋体" w:hAnsi="宋体"/>
          <w:b/>
          <w:sz w:val="30"/>
          <w:szCs w:val="30"/>
        </w:rPr>
        <w:t>、投标人提交的其它材料</w:t>
      </w:r>
    </w:p>
    <w:p w14:paraId="61865B76">
      <w:pPr>
        <w:spacing w:line="220" w:lineRule="atLeast"/>
        <w:rPr>
          <w:rFonts w:ascii="宋体" w:hAnsi="宋体" w:eastAsia="仿宋_GB2312"/>
          <w:sz w:val="28"/>
          <w:szCs w:val="28"/>
        </w:rPr>
      </w:pPr>
    </w:p>
    <w:p w14:paraId="3C45870F"/>
    <w:sectPr>
      <w:pgSz w:w="11906" w:h="16838"/>
      <w:pgMar w:top="1440" w:right="1066" w:bottom="1440" w:left="112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黑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inherit">
    <w:altName w:val="Times New Roman"/>
    <w:panose1 w:val="00000000000000000000"/>
    <w:charset w:val="00"/>
    <w:family w:val="auto"/>
    <w:pitch w:val="default"/>
    <w:sig w:usb0="00000000" w:usb1="00000000" w:usb2="00000000" w:usb3="00000000" w:csb0="00040001" w:csb1="00000000"/>
  </w:font>
  <w:font w:name="KSOF98BADBC5">
    <w:panose1 w:val="03000509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8EC4F"/>
    <w:multiLevelType w:val="singleLevel"/>
    <w:tmpl w:val="D098EC4F"/>
    <w:lvl w:ilvl="0" w:tentative="0">
      <w:start w:val="1"/>
      <w:numFmt w:val="decimal"/>
      <w:lvlText w:val="%1."/>
      <w:lvlJc w:val="left"/>
      <w:pPr>
        <w:tabs>
          <w:tab w:val="left" w:pos="312"/>
        </w:tabs>
      </w:pPr>
    </w:lvl>
  </w:abstractNum>
  <w:abstractNum w:abstractNumId="1">
    <w:nsid w:val="412F5F6A"/>
    <w:multiLevelType w:val="multilevel"/>
    <w:tmpl w:val="412F5F6A"/>
    <w:lvl w:ilvl="0" w:tentative="0">
      <w:start w:val="1"/>
      <w:numFmt w:val="decimal"/>
      <w:lvlText w:val="%1."/>
      <w:lvlJc w:val="left"/>
      <w:pPr>
        <w:ind w:left="846" w:hanging="420"/>
      </w:pPr>
      <w:rPr>
        <w:color w:val="00000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46050130"/>
    <w:multiLevelType w:val="multilevel"/>
    <w:tmpl w:val="46050130"/>
    <w:lvl w:ilvl="0" w:tentative="0">
      <w:start w:val="1"/>
      <w:numFmt w:val="decimal"/>
      <w:lvlText w:val="%1."/>
      <w:lvlJc w:val="left"/>
      <w:pPr>
        <w:ind w:left="704"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378C"/>
    <w:rsid w:val="121D2E7A"/>
    <w:rsid w:val="178A38CC"/>
    <w:rsid w:val="1A267DF0"/>
    <w:rsid w:val="20B726D3"/>
    <w:rsid w:val="2EC61441"/>
    <w:rsid w:val="370B35EE"/>
    <w:rsid w:val="3ACA5240"/>
    <w:rsid w:val="40E94590"/>
    <w:rsid w:val="43716477"/>
    <w:rsid w:val="49FD3D22"/>
    <w:rsid w:val="4A152119"/>
    <w:rsid w:val="4FA42C81"/>
    <w:rsid w:val="51A84398"/>
    <w:rsid w:val="57A53866"/>
    <w:rsid w:val="5C1353F1"/>
    <w:rsid w:val="5DC468F8"/>
    <w:rsid w:val="5DEE26B9"/>
    <w:rsid w:val="61F967E5"/>
    <w:rsid w:val="6CB70613"/>
    <w:rsid w:val="72491500"/>
    <w:rsid w:val="73524A17"/>
    <w:rsid w:val="74015E5E"/>
    <w:rsid w:val="7E260B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iPriority="99" w:semiHidden="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23"/>
    <w:qFormat/>
    <w:uiPriority w:val="0"/>
    <w:pPr>
      <w:widowControl/>
      <w:ind w:firstLine="420"/>
      <w:jc w:val="left"/>
    </w:pPr>
    <w:rPr>
      <w:kern w:val="0"/>
      <w:sz w:val="20"/>
      <w:szCs w:val="20"/>
    </w:rPr>
  </w:style>
  <w:style w:type="paragraph" w:styleId="3">
    <w:name w:val="annotation text"/>
    <w:basedOn w:val="1"/>
    <w:qFormat/>
    <w:uiPriority w:val="0"/>
    <w:pPr>
      <w:jc w:val="left"/>
    </w:pPr>
  </w:style>
  <w:style w:type="paragraph" w:styleId="4">
    <w:name w:val="Body Text"/>
    <w:basedOn w:val="1"/>
    <w:next w:val="1"/>
    <w:semiHidden/>
    <w:unhideWhenUsed/>
    <w:qFormat/>
    <w:uiPriority w:val="0"/>
    <w:pPr>
      <w:spacing w:after="200" w:line="276" w:lineRule="auto"/>
      <w:jc w:val="center"/>
    </w:pPr>
    <w:rPr>
      <w:rFonts w:ascii="方正大黑简体" w:hAnsi="Times New Roman" w:eastAsia="方正大黑简体"/>
      <w:kern w:val="44"/>
      <w:position w:val="6"/>
      <w:sz w:val="30"/>
      <w:szCs w:val="20"/>
    </w:rPr>
  </w:style>
  <w:style w:type="paragraph" w:styleId="5">
    <w:name w:val="Plain Text"/>
    <w:basedOn w:val="1"/>
    <w:link w:val="24"/>
    <w:unhideWhenUsed/>
    <w:qFormat/>
    <w:uiPriority w:val="0"/>
    <w:rPr>
      <w:rFonts w:ascii="宋体" w:hAnsi="Courier New" w:eastAsia="微软雅黑"/>
      <w:kern w:val="0"/>
      <w:sz w:val="22"/>
      <w:szCs w:val="20"/>
    </w:rPr>
  </w:style>
  <w:style w:type="paragraph" w:styleId="6">
    <w:name w:val="Balloon Text"/>
    <w:basedOn w:val="1"/>
    <w:link w:val="27"/>
    <w:semiHidden/>
    <w:unhideWhenUsed/>
    <w:qFormat/>
    <w:uiPriority w:val="99"/>
    <w:rPr>
      <w:sz w:val="18"/>
      <w:szCs w:val="18"/>
    </w:rPr>
  </w:style>
  <w:style w:type="paragraph" w:styleId="7">
    <w:name w:val="footer"/>
    <w:basedOn w:val="1"/>
    <w:link w:val="21"/>
    <w:semiHidden/>
    <w:unhideWhenUsed/>
    <w:qFormat/>
    <w:uiPriority w:val="99"/>
    <w:pPr>
      <w:tabs>
        <w:tab w:val="center" w:pos="4153"/>
        <w:tab w:val="right" w:pos="8306"/>
      </w:tabs>
      <w:snapToGrid w:val="0"/>
      <w:jc w:val="left"/>
    </w:pPr>
    <w:rPr>
      <w:sz w:val="18"/>
      <w:szCs w:val="18"/>
    </w:rPr>
  </w:style>
  <w:style w:type="paragraph" w:styleId="8">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Message Header"/>
    <w:basedOn w:val="1"/>
    <w:link w:val="22"/>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rPr>
  </w:style>
  <w:style w:type="paragraph" w:styleId="10">
    <w:name w:val="HTML Preformatted"/>
    <w:basedOn w:val="1"/>
    <w:link w:val="2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Hyperlink"/>
    <w:qFormat/>
    <w:uiPriority w:val="0"/>
    <w:rPr>
      <w:color w:val="0000FF"/>
      <w:u w:val="single"/>
    </w:rPr>
  </w:style>
  <w:style w:type="paragraph" w:customStyle="1" w:styleId="15">
    <w:name w:val="Fließtext"/>
    <w:basedOn w:val="1"/>
    <w:qFormat/>
    <w:uiPriority w:val="0"/>
    <w:pPr>
      <w:overflowPunct w:val="0"/>
      <w:autoSpaceDE w:val="0"/>
      <w:autoSpaceDN w:val="0"/>
      <w:adjustRightInd w:val="0"/>
      <w:textAlignment w:val="baseline"/>
    </w:pPr>
    <w:rPr>
      <w:kern w:val="28"/>
      <w:szCs w:val="20"/>
    </w:rPr>
  </w:style>
  <w:style w:type="paragraph" w:customStyle="1" w:styleId="16">
    <w:name w:val="Default"/>
    <w:qFormat/>
    <w:uiPriority w:val="0"/>
    <w:pPr>
      <w:widowControl w:val="0"/>
      <w:autoSpaceDE w:val="0"/>
      <w:autoSpaceDN w:val="0"/>
      <w:adjustRightInd w:val="0"/>
    </w:pPr>
    <w:rPr>
      <w:rFonts w:ascii="宋体" w:hAnsi="Times New Roman" w:eastAsia="宋体" w:cs="Times New Roman"/>
      <w:color w:val="000000"/>
      <w:kern w:val="0"/>
      <w:sz w:val="24"/>
      <w:szCs w:val="24"/>
      <w:lang w:val="en-US" w:eastAsia="zh-CN" w:bidi="ar-SA"/>
    </w:rPr>
  </w:style>
  <w:style w:type="paragraph" w:customStyle="1" w:styleId="17">
    <w:name w:val="Body Text First Indent1"/>
    <w:basedOn w:val="4"/>
    <w:qFormat/>
    <w:uiPriority w:val="0"/>
    <w:pPr>
      <w:ind w:firstLine="420" w:firstLineChars="100"/>
    </w:pPr>
  </w:style>
  <w:style w:type="paragraph" w:customStyle="1" w:styleId="18">
    <w:name w:val="null3"/>
    <w:qFormat/>
    <w:uiPriority w:val="0"/>
    <w:rPr>
      <w:rFonts w:hint="eastAsia" w:ascii="Calibri" w:hAnsi="Calibri" w:eastAsia="宋体" w:cs="Times New Roman"/>
      <w:kern w:val="0"/>
      <w:sz w:val="20"/>
      <w:szCs w:val="20"/>
      <w:lang w:val="en-US" w:eastAsia="zh-CN" w:bidi="ar-SA"/>
    </w:rPr>
  </w:style>
  <w:style w:type="paragraph" w:customStyle="1" w:styleId="19">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20">
    <w:name w:val="页眉 Char Char"/>
    <w:basedOn w:val="13"/>
    <w:link w:val="8"/>
    <w:qFormat/>
    <w:uiPriority w:val="99"/>
    <w:rPr>
      <w:sz w:val="18"/>
      <w:szCs w:val="18"/>
    </w:rPr>
  </w:style>
  <w:style w:type="character" w:customStyle="1" w:styleId="21">
    <w:name w:val="页脚 Char Char"/>
    <w:basedOn w:val="13"/>
    <w:link w:val="7"/>
    <w:qFormat/>
    <w:uiPriority w:val="99"/>
    <w:rPr>
      <w:sz w:val="18"/>
      <w:szCs w:val="18"/>
    </w:rPr>
  </w:style>
  <w:style w:type="character" w:customStyle="1" w:styleId="22">
    <w:name w:val="信息标题 Char Char"/>
    <w:basedOn w:val="13"/>
    <w:link w:val="9"/>
    <w:qFormat/>
    <w:uiPriority w:val="99"/>
    <w:rPr>
      <w:rFonts w:ascii="Cambria" w:hAnsi="Cambria" w:eastAsia="宋体" w:cs="Times New Roman"/>
      <w:kern w:val="0"/>
      <w:sz w:val="24"/>
      <w:szCs w:val="24"/>
      <w:shd w:val="pct20" w:color="auto" w:fill="auto"/>
    </w:rPr>
  </w:style>
  <w:style w:type="character" w:customStyle="1" w:styleId="23">
    <w:name w:val="正文缩进 Char Char"/>
    <w:link w:val="2"/>
    <w:qFormat/>
    <w:uiPriority w:val="0"/>
    <w:rPr>
      <w:rFonts w:ascii="Times New Roman" w:hAnsi="Times New Roman" w:eastAsia="宋体" w:cs="Times New Roman"/>
      <w:kern w:val="0"/>
      <w:sz w:val="20"/>
      <w:szCs w:val="20"/>
    </w:rPr>
  </w:style>
  <w:style w:type="character" w:customStyle="1" w:styleId="24">
    <w:name w:val="纯文本 Char Char"/>
    <w:basedOn w:val="13"/>
    <w:link w:val="5"/>
    <w:qFormat/>
    <w:uiPriority w:val="0"/>
    <w:rPr>
      <w:rFonts w:ascii="宋体" w:hAnsi="Courier New" w:eastAsia="微软雅黑" w:cs="Times New Roman"/>
      <w:kern w:val="0"/>
      <w:sz w:val="22"/>
      <w:szCs w:val="20"/>
    </w:rPr>
  </w:style>
  <w:style w:type="character" w:customStyle="1" w:styleId="25">
    <w:name w:val="HTML 预设格式 Char Char"/>
    <w:basedOn w:val="13"/>
    <w:link w:val="10"/>
    <w:qFormat/>
    <w:uiPriority w:val="0"/>
    <w:rPr>
      <w:rFonts w:ascii="宋体" w:hAnsi="宋体" w:eastAsia="宋体" w:cs="Times New Roman"/>
      <w:kern w:val="0"/>
      <w:sz w:val="24"/>
      <w:szCs w:val="24"/>
    </w:rPr>
  </w:style>
  <w:style w:type="character" w:customStyle="1" w:styleId="26">
    <w:name w:val="font01"/>
    <w:basedOn w:val="13"/>
    <w:qFormat/>
    <w:uiPriority w:val="0"/>
    <w:rPr>
      <w:rFonts w:hint="eastAsia" w:ascii="宋体" w:hAnsi="宋体" w:eastAsia="宋体" w:cs="宋体"/>
      <w:color w:val="000000"/>
      <w:sz w:val="20"/>
      <w:szCs w:val="20"/>
      <w:u w:val="none"/>
    </w:rPr>
  </w:style>
  <w:style w:type="character" w:customStyle="1" w:styleId="27">
    <w:name w:val="批注框文本 Char Char"/>
    <w:basedOn w:val="13"/>
    <w:link w:val="6"/>
    <w:qFormat/>
    <w:uiPriority w:val="99"/>
    <w:rPr>
      <w:rFonts w:ascii="Times New Roman" w:hAnsi="Times New Roman" w:eastAsia="宋体" w:cs="Times New Roman"/>
      <w:sz w:val="18"/>
      <w:szCs w:val="18"/>
    </w:rPr>
  </w:style>
  <w:style w:type="character" w:customStyle="1" w:styleId="28">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13</Pages>
  <Words>1459</Words>
  <Characters>1548</Characters>
  <Lines>38</Lines>
  <Paragraphs>10</Paragraphs>
  <TotalTime>73</TotalTime>
  <ScaleCrop>false</ScaleCrop>
  <LinksUpToDate>false</LinksUpToDate>
  <CharactersWithSpaces>1579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2023-05-12T08:18:00Z</dcterms:created>
  <dc:creator>HP Inc.</dc:creator>
  <cp:lastModifiedBy>陈永秀</cp:lastModifiedBy>
  <cp:lastPrinted>2025-11-25T03:51:00Z</cp:lastPrinted>
  <dcterms:modified xsi:type="dcterms:W3CDTF">2025-12-04T07:06:35Z</dcterms:modified>
  <dc:title>门诊办公家具采购项目招标谈判邀请函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7A2D9A66A68649888399CC8ED52795C9_13</vt:lpwstr>
  </property>
  <property fmtid="{D5CDD505-2E9C-101B-9397-08002B2CF9AE}" pid="4" name="KSOTemplateDocerSaveRecord">
    <vt:lpwstr>eyJoZGlkIjoiMGQwZjNhZjI0MTEwNDAxMmI2ODI4YThjZGQ0NjZhNTciLCJ1c2VySWQiOiIxNzI5NDY5MTQ3In0=</vt:lpwstr>
  </property>
</Properties>
</file>