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360" w:lineRule="auto"/>
        <w:jc w:val="center"/>
        <w:rPr>
          <w:rFonts w:hint="eastAsia" w:ascii="仿宋_GB2312" w:hAnsi="仿宋_GB2312" w:eastAsia="方正小标宋简体" w:cs="仿宋_GB2312"/>
          <w:b w:val="0"/>
          <w:kern w:val="2"/>
          <w:sz w:val="32"/>
          <w:szCs w:val="32"/>
        </w:rPr>
      </w:pPr>
      <w:r>
        <w:rPr>
          <w:rFonts w:hint="eastAsia" w:ascii="方正小标宋简体" w:hAnsi="方正小标宋简体" w:eastAsia="方正小标宋简体" w:cs="方正小标宋简体"/>
          <w:b w:val="0"/>
          <w:kern w:val="2"/>
          <w:szCs w:val="44"/>
        </w:rPr>
        <w:t>福建省肿瘤医院</w:t>
      </w:r>
      <w:r>
        <w:rPr>
          <w:rFonts w:hint="eastAsia" w:ascii="方正小标宋简体" w:hAnsi="方正小标宋简体" w:eastAsia="方正小标宋简体" w:cs="方正小标宋简体"/>
          <w:b w:val="0"/>
          <w:kern w:val="2"/>
          <w:szCs w:val="44"/>
          <w:lang w:val="en-US" w:eastAsia="zh-CN"/>
        </w:rPr>
        <w:t>采购</w:t>
      </w:r>
      <w:r>
        <w:rPr>
          <w:rFonts w:hint="eastAsia" w:ascii="方正小标宋简体" w:hAnsi="方正小标宋简体" w:eastAsia="方正小标宋简体" w:cs="方正小标宋简体"/>
          <w:b w:val="0"/>
          <w:kern w:val="2"/>
          <w:szCs w:val="44"/>
        </w:rPr>
        <w:t>调研公告</w:t>
      </w:r>
    </w:p>
    <w:p>
      <w:pPr>
        <w:widowControl/>
        <w:shd w:val="clear" w:color="auto" w:fill="FFFFFF"/>
        <w:adjustRightInd w:val="0"/>
        <w:snapToGrid w:val="0"/>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shd w:val="clear" w:color="auto" w:fill="FFFFFF"/>
        </w:rPr>
        <w:t>第一部分 须知前附表</w:t>
      </w:r>
    </w:p>
    <w:tbl>
      <w:tblPr>
        <w:tblStyle w:val="9"/>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7"/>
              <w:widowControl/>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rPr>
              <w:t>主　　　</w:t>
            </w:r>
            <w:bookmarkStart w:id="1" w:name="_GoBack"/>
            <w:bookmarkEnd w:id="1"/>
            <w:r>
              <w:rPr>
                <w:rFonts w:hint="eastAsia" w:ascii="仿宋_GB2312" w:hAnsi="仿宋_GB2312" w:eastAsia="仿宋_GB2312" w:cs="仿宋_GB2312"/>
                <w:b/>
                <w:color w:val="000000"/>
                <w:kern w:val="0"/>
                <w:sz w:val="32"/>
                <w:szCs w:val="32"/>
              </w:rPr>
              <w:t>要　　　 内　　　 容</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60" w:lineRule="auto"/>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60" w:lineRule="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项目名称：</w:t>
            </w:r>
            <w:r>
              <w:rPr>
                <w:rFonts w:hint="eastAsia" w:ascii="仿宋_GB2312" w:hAnsi="仿宋_GB2312" w:eastAsia="仿宋_GB2312" w:cs="仿宋_GB2312"/>
                <w:color w:val="000000"/>
                <w:kern w:val="0"/>
                <w:sz w:val="32"/>
                <w:szCs w:val="32"/>
                <w:lang w:val="en-US" w:eastAsia="zh-CN"/>
              </w:rPr>
              <w:t>省际OTN线路维护</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60" w:lineRule="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调研报名时间： 2025 </w:t>
            </w:r>
            <w:r>
              <w:rPr>
                <w:rFonts w:hint="eastAsia" w:ascii="仿宋_GB2312" w:hAnsi="仿宋_GB2312" w:eastAsia="仿宋_GB2312" w:cs="仿宋_GB2312"/>
                <w:color w:val="000000"/>
                <w:kern w:val="0"/>
                <w:sz w:val="32"/>
                <w:szCs w:val="32"/>
                <w:highlight w:val="none"/>
              </w:rPr>
              <w:t>年</w:t>
            </w:r>
            <w:r>
              <w:rPr>
                <w:rFonts w:hint="eastAsia" w:ascii="仿宋_GB2312" w:hAnsi="仿宋_GB2312" w:eastAsia="仿宋_GB2312" w:cs="仿宋_GB2312"/>
                <w:color w:val="000000"/>
                <w:kern w:val="0"/>
                <w:sz w:val="32"/>
                <w:szCs w:val="32"/>
                <w:highlight w:val="none"/>
                <w:u w:val="single"/>
                <w:lang w:val="en-US" w:eastAsia="zh-CN"/>
              </w:rPr>
              <w:t>12</w:t>
            </w:r>
            <w:r>
              <w:rPr>
                <w:rFonts w:hint="eastAsia" w:ascii="仿宋_GB2312" w:hAnsi="仿宋_GB2312" w:eastAsia="仿宋_GB2312" w:cs="仿宋_GB2312"/>
                <w:color w:val="000000"/>
                <w:kern w:val="0"/>
                <w:sz w:val="32"/>
                <w:szCs w:val="32"/>
                <w:highlight w:val="none"/>
              </w:rPr>
              <w:t>月</w:t>
            </w:r>
            <w:r>
              <w:rPr>
                <w:rFonts w:hint="eastAsia" w:ascii="仿宋_GB2312" w:hAnsi="仿宋_GB2312" w:eastAsia="仿宋_GB2312" w:cs="仿宋_GB2312"/>
                <w:color w:val="000000"/>
                <w:kern w:val="0"/>
                <w:sz w:val="32"/>
                <w:szCs w:val="32"/>
                <w:highlight w:val="none"/>
                <w:u w:val="single"/>
                <w:lang w:val="en-US" w:eastAsia="zh-CN"/>
              </w:rPr>
              <w:t>5</w:t>
            </w:r>
            <w:r>
              <w:rPr>
                <w:rFonts w:hint="eastAsia" w:ascii="仿宋_GB2312" w:hAnsi="仿宋_GB2312" w:eastAsia="仿宋_GB2312" w:cs="仿宋_GB2312"/>
                <w:color w:val="000000"/>
                <w:kern w:val="0"/>
                <w:sz w:val="32"/>
                <w:szCs w:val="32"/>
                <w:highlight w:val="none"/>
              </w:rPr>
              <w:t xml:space="preserve">日至 </w:t>
            </w:r>
            <w:r>
              <w:rPr>
                <w:rFonts w:hint="eastAsia" w:ascii="仿宋_GB2312" w:hAnsi="仿宋_GB2312" w:eastAsia="仿宋_GB2312" w:cs="仿宋_GB2312"/>
                <w:color w:val="000000"/>
                <w:kern w:val="0"/>
                <w:sz w:val="32"/>
                <w:szCs w:val="32"/>
                <w:highlight w:val="none"/>
                <w:u w:val="single"/>
                <w:lang w:val="en-US" w:eastAsia="zh-CN"/>
              </w:rPr>
              <w:t>12</w:t>
            </w:r>
            <w:r>
              <w:rPr>
                <w:rFonts w:hint="eastAsia" w:ascii="仿宋_GB2312" w:hAnsi="仿宋_GB2312" w:eastAsia="仿宋_GB2312" w:cs="仿宋_GB2312"/>
                <w:color w:val="000000"/>
                <w:kern w:val="0"/>
                <w:sz w:val="32"/>
                <w:szCs w:val="32"/>
                <w:highlight w:val="none"/>
              </w:rPr>
              <w:t>月</w:t>
            </w:r>
            <w:r>
              <w:rPr>
                <w:rFonts w:hint="eastAsia" w:ascii="仿宋_GB2312" w:hAnsi="仿宋_GB2312" w:eastAsia="仿宋_GB2312" w:cs="仿宋_GB2312"/>
                <w:color w:val="000000"/>
                <w:kern w:val="0"/>
                <w:sz w:val="32"/>
                <w:szCs w:val="32"/>
                <w:highlight w:val="none"/>
                <w:u w:val="single"/>
                <w:lang w:val="en-US" w:eastAsia="zh-CN"/>
              </w:rPr>
              <w:t>11</w:t>
            </w:r>
            <w:r>
              <w:rPr>
                <w:rFonts w:hint="eastAsia" w:ascii="仿宋_GB2312" w:hAnsi="仿宋_GB2312" w:eastAsia="仿宋_GB2312" w:cs="仿宋_GB2312"/>
                <w:color w:val="000000"/>
                <w:kern w:val="0"/>
                <w:sz w:val="32"/>
                <w:szCs w:val="32"/>
                <w:highlight w:val="none"/>
              </w:rPr>
              <w:t xml:space="preserve">日 </w:t>
            </w:r>
            <w:r>
              <w:rPr>
                <w:rFonts w:hint="eastAsia" w:ascii="仿宋_GB2312" w:hAnsi="仿宋_GB2312" w:eastAsia="仿宋_GB2312" w:cs="仿宋_GB2312"/>
                <w:color w:val="000000"/>
                <w:spacing w:val="-8"/>
                <w:kern w:val="0"/>
                <w:sz w:val="32"/>
                <w:szCs w:val="32"/>
                <w:shd w:val="clear" w:color="auto" w:fill="FFFFFF"/>
              </w:rPr>
              <w:t>(节假日除外)8：00-12：00或14：</w:t>
            </w:r>
            <w:r>
              <w:rPr>
                <w:rFonts w:hint="eastAsia" w:ascii="仿宋_GB2312" w:hAnsi="仿宋_GB2312" w:eastAsia="仿宋_GB2312" w:cs="仿宋_GB2312"/>
                <w:color w:val="000000"/>
                <w:spacing w:val="-8"/>
                <w:kern w:val="0"/>
                <w:sz w:val="32"/>
                <w:szCs w:val="32"/>
                <w:shd w:val="clear" w:color="auto" w:fill="FFFFFF"/>
                <w:lang w:val="en-US" w:eastAsia="zh-CN"/>
              </w:rPr>
              <w:t>0</w:t>
            </w:r>
            <w:r>
              <w:rPr>
                <w:rFonts w:hint="eastAsia" w:ascii="仿宋_GB2312" w:hAnsi="仿宋_GB2312" w:eastAsia="仿宋_GB2312" w:cs="仿宋_GB2312"/>
                <w:color w:val="000000"/>
                <w:spacing w:val="-8"/>
                <w:kern w:val="0"/>
                <w:sz w:val="32"/>
                <w:szCs w:val="32"/>
                <w:shd w:val="clear" w:color="auto" w:fill="FFFFFF"/>
              </w:rPr>
              <w:t>0-17：</w:t>
            </w:r>
            <w:r>
              <w:rPr>
                <w:rFonts w:hint="eastAsia" w:ascii="仿宋_GB2312" w:hAnsi="仿宋_GB2312" w:eastAsia="仿宋_GB2312" w:cs="仿宋_GB2312"/>
                <w:color w:val="000000"/>
                <w:spacing w:val="-8"/>
                <w:kern w:val="0"/>
                <w:sz w:val="32"/>
                <w:szCs w:val="32"/>
                <w:shd w:val="clear" w:color="auto" w:fill="FFFFFF"/>
                <w:lang w:val="en-US" w:eastAsia="zh-CN"/>
              </w:rPr>
              <w:t>0</w:t>
            </w:r>
            <w:r>
              <w:rPr>
                <w:rFonts w:hint="eastAsia" w:ascii="仿宋_GB2312" w:hAnsi="仿宋_GB2312" w:eastAsia="仿宋_GB2312" w:cs="仿宋_GB2312"/>
                <w:color w:val="000000"/>
                <w:spacing w:val="-8"/>
                <w:kern w:val="0"/>
                <w:sz w:val="32"/>
                <w:szCs w:val="32"/>
                <w:shd w:val="clear" w:color="auto" w:fill="FFFFFF"/>
              </w:rPr>
              <w:t>0(北京时间）</w:t>
            </w:r>
          </w:p>
          <w:p>
            <w:pPr>
              <w:widowControl/>
              <w:spacing w:line="360" w:lineRule="auto"/>
              <w:rPr>
                <w:rFonts w:hint="eastAsia" w:ascii="仿宋_GB2312" w:hAnsi="仿宋_GB2312" w:eastAsia="仿宋_GB2312" w:cs="仿宋_GB2312"/>
                <w:color w:val="000000"/>
                <w:kern w:val="0"/>
                <w:sz w:val="32"/>
                <w:szCs w:val="32"/>
                <w:u w:val="single"/>
              </w:rPr>
            </w:pPr>
            <w:r>
              <w:rPr>
                <w:rFonts w:hint="eastAsia" w:ascii="仿宋_GB2312" w:hAnsi="仿宋_GB2312" w:eastAsia="仿宋_GB2312" w:cs="仿宋_GB2312"/>
                <w:color w:val="000000"/>
                <w:kern w:val="0"/>
                <w:sz w:val="32"/>
                <w:szCs w:val="32"/>
              </w:rPr>
              <w:t>调研会时间： 2025 年</w:t>
            </w:r>
            <w:r>
              <w:rPr>
                <w:rFonts w:hint="eastAsia" w:ascii="仿宋_GB2312" w:hAnsi="仿宋_GB2312" w:eastAsia="仿宋_GB2312" w:cs="仿宋_GB2312"/>
                <w:color w:val="000000"/>
                <w:kern w:val="0"/>
                <w:sz w:val="32"/>
                <w:szCs w:val="32"/>
                <w:u w:val="single"/>
                <w:lang w:val="en-US" w:eastAsia="zh-CN"/>
              </w:rPr>
              <w:t>12</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rPr>
              <w:t xml:space="preserve">月 </w:t>
            </w:r>
            <w:r>
              <w:rPr>
                <w:rFonts w:hint="eastAsia" w:ascii="仿宋_GB2312" w:hAnsi="仿宋_GB2312" w:eastAsia="仿宋_GB2312" w:cs="仿宋_GB2312"/>
                <w:color w:val="000000"/>
                <w:kern w:val="0"/>
                <w:sz w:val="32"/>
                <w:szCs w:val="32"/>
                <w:highlight w:val="none"/>
                <w:u w:val="single"/>
                <w:lang w:val="en-US" w:eastAsia="zh-CN"/>
              </w:rPr>
              <w:t>12</w:t>
            </w:r>
            <w:r>
              <w:rPr>
                <w:rFonts w:hint="eastAsia" w:ascii="仿宋_GB2312" w:hAnsi="仿宋_GB2312" w:eastAsia="仿宋_GB2312" w:cs="仿宋_GB2312"/>
                <w:color w:val="000000"/>
                <w:kern w:val="0"/>
                <w:sz w:val="32"/>
                <w:szCs w:val="32"/>
              </w:rPr>
              <w:t>日 9:00</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投标文件正本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份,副本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份胶装并密封加盖投标人公章。文件未胶装将视为无效。</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投标文件递交处：福建省肿瘤医院网络技术中心</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上述时间、地点如有变动，以单位届时通知为准。</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hd w:val="clear" w:color="auto" w:fill="FFFFFF"/>
              <w:adjustRightInd w:val="0"/>
              <w:snapToGrid w:val="0"/>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Cs/>
                <w:color w:val="000000"/>
                <w:kern w:val="0"/>
                <w:sz w:val="32"/>
                <w:szCs w:val="32"/>
                <w:shd w:val="clear" w:color="auto" w:fill="FFFFFF"/>
              </w:rPr>
              <w:t>采购报名、采购调研等采购过程中有任何异议，可联系我院监督科室。电话：83660063-8407；83660063-8467。</w:t>
            </w:r>
          </w:p>
        </w:tc>
      </w:tr>
    </w:tbl>
    <w:p>
      <w:pPr>
        <w:widowControl/>
        <w:shd w:val="clear" w:color="auto" w:fill="FFFFFF"/>
        <w:spacing w:line="360" w:lineRule="auto"/>
        <w:rPr>
          <w:rFonts w:hint="eastAsia" w:ascii="仿宋_GB2312" w:hAnsi="仿宋_GB2312" w:eastAsia="仿宋_GB2312" w:cs="仿宋_GB2312"/>
          <w:bCs/>
          <w:color w:val="000000"/>
          <w:kern w:val="0"/>
          <w:sz w:val="32"/>
          <w:szCs w:val="32"/>
          <w:shd w:val="clear" w:color="auto" w:fill="FFFFFF"/>
        </w:rPr>
      </w:pPr>
    </w:p>
    <w:p>
      <w:pPr>
        <w:widowControl/>
        <w:shd w:val="clear" w:color="auto" w:fill="FFFFFF"/>
        <w:spacing w:line="360" w:lineRule="auto"/>
        <w:rPr>
          <w:rFonts w:hint="eastAsia"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 xml:space="preserve">地　址： 福建省福州市福马路420号 </w:t>
      </w:r>
    </w:p>
    <w:p>
      <w:pPr>
        <w:widowControl/>
        <w:shd w:val="clear" w:color="auto" w:fill="FFFFFF"/>
        <w:spacing w:line="360" w:lineRule="auto"/>
        <w:ind w:firstLine="420"/>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福建省肿瘤医院科研楼四楼网络技术中心</w:t>
      </w:r>
    </w:p>
    <w:p>
      <w:pPr>
        <w:widowControl/>
        <w:shd w:val="clear" w:color="auto" w:fill="FFFFFF"/>
        <w:spacing w:line="360" w:lineRule="auto"/>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邮　编： 350014　 </w:t>
      </w:r>
    </w:p>
    <w:p>
      <w:pPr>
        <w:widowControl/>
        <w:shd w:val="clear" w:color="auto" w:fill="FFFFFF"/>
        <w:spacing w:line="360" w:lineRule="auto"/>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报名联系电话： 0591-83660063-8822</w:t>
      </w:r>
    </w:p>
    <w:p>
      <w:pPr>
        <w:widowControl/>
        <w:shd w:val="clear" w:color="auto" w:fill="FFFFFF"/>
        <w:spacing w:line="360" w:lineRule="auto"/>
        <w:rPr>
          <w:rFonts w:hint="eastAsia"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 xml:space="preserve">联系人： </w:t>
      </w:r>
      <w:r>
        <w:rPr>
          <w:rFonts w:hint="eastAsia" w:ascii="仿宋_GB2312" w:hAnsi="仿宋_GB2312" w:eastAsia="仿宋_GB2312" w:cs="仿宋_GB2312"/>
          <w:bCs/>
          <w:color w:val="000000"/>
          <w:kern w:val="0"/>
          <w:sz w:val="32"/>
          <w:szCs w:val="32"/>
          <w:shd w:val="clear" w:color="auto" w:fill="FFFFFF"/>
          <w:lang w:val="en-US" w:eastAsia="zh-CN"/>
        </w:rPr>
        <w:t>钱</w:t>
      </w:r>
      <w:r>
        <w:rPr>
          <w:rFonts w:hint="eastAsia" w:ascii="仿宋_GB2312" w:hAnsi="仿宋_GB2312" w:eastAsia="仿宋_GB2312" w:cs="仿宋_GB2312"/>
          <w:bCs/>
          <w:color w:val="000000"/>
          <w:kern w:val="0"/>
          <w:sz w:val="32"/>
          <w:szCs w:val="32"/>
          <w:shd w:val="clear" w:color="auto" w:fill="FFFFFF"/>
        </w:rPr>
        <w:t>工、郑工</w:t>
      </w:r>
    </w:p>
    <w:p>
      <w:pPr>
        <w:pStyle w:val="13"/>
        <w:spacing w:line="360" w:lineRule="auto"/>
        <w:rPr>
          <w:rFonts w:hint="eastAsia" w:ascii="仿宋_GB2312" w:hAnsi="仿宋_GB2312" w:cs="仿宋_GB2312"/>
          <w:sz w:val="32"/>
          <w:szCs w:val="32"/>
        </w:rPr>
      </w:pPr>
      <w:r>
        <w:rPr>
          <w:rFonts w:hint="eastAsia" w:ascii="仿宋_GB2312" w:hAnsi="仿宋_GB2312" w:cs="仿宋_GB2312"/>
          <w:sz w:val="32"/>
          <w:szCs w:val="32"/>
        </w:rPr>
        <w:br w:type="page"/>
      </w:r>
    </w:p>
    <w:p>
      <w:pPr>
        <w:widowControl/>
        <w:shd w:val="clear" w:color="auto" w:fill="FFFFFF"/>
        <w:adjustRightInd w:val="0"/>
        <w:snapToGrid w:val="0"/>
        <w:spacing w:line="360" w:lineRule="auto"/>
        <w:ind w:firstLine="420"/>
        <w:jc w:val="center"/>
        <w:rPr>
          <w:rFonts w:hint="eastAsia" w:ascii="黑体" w:hAnsi="黑体" w:eastAsia="黑体"/>
          <w:bCs/>
          <w:color w:val="000000"/>
          <w:kern w:val="0"/>
          <w:sz w:val="32"/>
          <w:szCs w:val="32"/>
          <w:shd w:val="clear" w:color="auto" w:fill="FFFFFF"/>
        </w:rPr>
      </w:pPr>
      <w:r>
        <w:rPr>
          <w:rFonts w:hint="eastAsia" w:ascii="黑体" w:hAnsi="黑体" w:eastAsia="黑体"/>
          <w:bCs/>
          <w:color w:val="000000"/>
          <w:kern w:val="0"/>
          <w:sz w:val="32"/>
          <w:szCs w:val="32"/>
          <w:shd w:val="clear" w:color="auto" w:fill="FFFFFF"/>
        </w:rPr>
        <w:t>第二部分 具体要求</w:t>
      </w:r>
    </w:p>
    <w:p>
      <w:pPr>
        <w:widowControl/>
        <w:shd w:val="clear" w:color="auto" w:fill="FFFFFF"/>
        <w:spacing w:line="360" w:lineRule="auto"/>
        <w:rPr>
          <w:rFonts w:hint="eastAsia"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一、采购内容</w:t>
      </w:r>
    </w:p>
    <w:tbl>
      <w:tblPr>
        <w:tblStyle w:val="9"/>
        <w:tblpPr w:leftFromText="180" w:rightFromText="180" w:vertAnchor="text" w:horzAnchor="page" w:tblpX="1562" w:tblpY="283"/>
        <w:tblOverlap w:val="never"/>
        <w:tblW w:w="935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13"/>
        <w:gridCol w:w="2977"/>
        <w:gridCol w:w="1842"/>
        <w:gridCol w:w="31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8" w:hRule="exact"/>
        </w:trPr>
        <w:tc>
          <w:tcPr>
            <w:tcW w:w="1413" w:type="dxa"/>
            <w:vAlign w:val="center"/>
          </w:tcPr>
          <w:p>
            <w:pPr>
              <w:widowControl/>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rPr>
              <w:t>合同包</w:t>
            </w:r>
          </w:p>
        </w:tc>
        <w:tc>
          <w:tcPr>
            <w:tcW w:w="2977" w:type="dxa"/>
            <w:vAlign w:val="center"/>
          </w:tcPr>
          <w:p>
            <w:pPr>
              <w:widowControl/>
              <w:spacing w:line="36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名 称</w:t>
            </w:r>
          </w:p>
        </w:tc>
        <w:tc>
          <w:tcPr>
            <w:tcW w:w="1842" w:type="dxa"/>
            <w:vAlign w:val="center"/>
          </w:tcPr>
          <w:p>
            <w:pPr>
              <w:widowControl/>
              <w:spacing w:line="36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数量</w:t>
            </w:r>
          </w:p>
        </w:tc>
        <w:tc>
          <w:tcPr>
            <w:tcW w:w="3127" w:type="dxa"/>
            <w:vAlign w:val="center"/>
          </w:tcPr>
          <w:p>
            <w:pPr>
              <w:widowControl/>
              <w:spacing w:line="360" w:lineRule="auto"/>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预算（万元）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1" w:hRule="exact"/>
        </w:trPr>
        <w:tc>
          <w:tcPr>
            <w:tcW w:w="1413" w:type="dxa"/>
            <w:vAlign w:val="center"/>
          </w:tcPr>
          <w:p>
            <w:pPr>
              <w:widowControl/>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（一）</w:t>
            </w:r>
          </w:p>
        </w:tc>
        <w:tc>
          <w:tcPr>
            <w:tcW w:w="2977" w:type="dxa"/>
            <w:vAlign w:val="center"/>
          </w:tcPr>
          <w:p>
            <w:pPr>
              <w:widowControl/>
              <w:spacing w:line="360" w:lineRule="auto"/>
              <w:jc w:val="center"/>
              <w:rPr>
                <w:rFonts w:hint="default" w:ascii="仿宋_GB2312" w:hAnsi="仿宋_GB2312" w:eastAsia="仿宋_GB2312" w:cs="仿宋_GB2312"/>
                <w:kern w:val="0"/>
                <w:sz w:val="32"/>
                <w:szCs w:val="32"/>
                <w:lang w:val="en-US" w:eastAsia="zh-CN"/>
              </w:rPr>
            </w:pPr>
            <w:r>
              <w:rPr>
                <w:rFonts w:hint="default" w:ascii="仿宋_GB2312" w:hAnsi="仿宋_GB2312" w:eastAsia="仿宋_GB2312" w:cs="仿宋_GB2312"/>
                <w:kern w:val="0"/>
                <w:sz w:val="32"/>
                <w:szCs w:val="32"/>
                <w:lang w:val="en-US" w:eastAsia="zh-CN"/>
              </w:rPr>
              <w:t>省际OTN线路维护</w:t>
            </w:r>
          </w:p>
        </w:tc>
        <w:tc>
          <w:tcPr>
            <w:tcW w:w="1842" w:type="dxa"/>
            <w:vAlign w:val="center"/>
          </w:tcPr>
          <w:p>
            <w:pPr>
              <w:autoSpaceDN w:val="0"/>
              <w:spacing w:line="360" w:lineRule="auto"/>
              <w:textAlignment w:val="center"/>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sz w:val="32"/>
                <w:szCs w:val="32"/>
              </w:rPr>
              <w:t xml:space="preserve">   1套</w:t>
            </w:r>
          </w:p>
        </w:tc>
        <w:tc>
          <w:tcPr>
            <w:tcW w:w="3127" w:type="dxa"/>
            <w:vAlign w:val="center"/>
          </w:tcPr>
          <w:p>
            <w:pPr>
              <w:autoSpaceDN w:val="0"/>
              <w:spacing w:line="360" w:lineRule="auto"/>
              <w:jc w:val="center"/>
              <w:textAlignment w:val="center"/>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20</w:t>
            </w:r>
          </w:p>
        </w:tc>
      </w:tr>
    </w:tbl>
    <w:p/>
    <w:p>
      <w:pPr>
        <w:keepNext/>
        <w:widowControl/>
        <w:shd w:val="clear" w:color="auto" w:fill="FFFFFF"/>
        <w:autoSpaceDE w:val="0"/>
        <w:spacing w:line="360" w:lineRule="auto"/>
        <w:rPr>
          <w:rFonts w:hint="eastAsia"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二、技术功能及服务要求</w:t>
      </w:r>
    </w:p>
    <w:p>
      <w:pPr>
        <w:pStyle w:val="13"/>
        <w:spacing w:line="360" w:lineRule="auto"/>
        <w:rPr>
          <w:rFonts w:hint="eastAsia" w:ascii="仿宋_GB2312" w:hAnsi="仿宋_GB2312" w:cs="仿宋_GB2312"/>
          <w:sz w:val="32"/>
          <w:szCs w:val="32"/>
        </w:rPr>
      </w:pPr>
      <w:r>
        <w:rPr>
          <w:rFonts w:hint="eastAsia" w:ascii="仿宋_GB2312" w:hAnsi="仿宋_GB2312" w:cs="仿宋_GB2312"/>
          <w:sz w:val="32"/>
          <w:szCs w:val="32"/>
        </w:rPr>
        <w:t>1、合同包（一）</w:t>
      </w:r>
    </w:p>
    <w:tbl>
      <w:tblPr>
        <w:tblStyle w:val="9"/>
        <w:tblW w:w="9026" w:type="dxa"/>
        <w:tblInd w:w="0" w:type="dxa"/>
        <w:tblLayout w:type="autofit"/>
        <w:tblCellMar>
          <w:top w:w="0" w:type="dxa"/>
          <w:left w:w="108" w:type="dxa"/>
          <w:bottom w:w="0" w:type="dxa"/>
          <w:right w:w="108" w:type="dxa"/>
        </w:tblCellMar>
      </w:tblPr>
      <w:tblGrid>
        <w:gridCol w:w="846"/>
        <w:gridCol w:w="1276"/>
        <w:gridCol w:w="6904"/>
      </w:tblGrid>
      <w:tr>
        <w:tblPrEx>
          <w:tblCellMar>
            <w:top w:w="0" w:type="dxa"/>
            <w:left w:w="108" w:type="dxa"/>
            <w:bottom w:w="0" w:type="dxa"/>
            <w:right w:w="108" w:type="dxa"/>
          </w:tblCellMar>
        </w:tblPrEx>
        <w:trPr>
          <w:trHeight w:val="780" w:hRule="atLeast"/>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序号</w:t>
            </w:r>
          </w:p>
        </w:tc>
        <w:tc>
          <w:tcPr>
            <w:tcW w:w="127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项目</w:t>
            </w:r>
          </w:p>
        </w:tc>
        <w:tc>
          <w:tcPr>
            <w:tcW w:w="690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技术参数要求</w:t>
            </w:r>
          </w:p>
        </w:tc>
      </w:tr>
      <w:tr>
        <w:tblPrEx>
          <w:tblCellMar>
            <w:top w:w="0" w:type="dxa"/>
            <w:left w:w="108" w:type="dxa"/>
            <w:bottom w:w="0" w:type="dxa"/>
            <w:right w:w="108" w:type="dxa"/>
          </w:tblCellMar>
        </w:tblPrEx>
        <w:trPr>
          <w:trHeight w:val="280"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等线" w:eastAsia="仿宋_GB2312" w:cs="宋体"/>
                <w:color w:val="000000"/>
                <w:kern w:val="0"/>
                <w:sz w:val="22"/>
                <w:szCs w:val="22"/>
              </w:rPr>
            </w:pPr>
            <w:r>
              <w:rPr>
                <w:rFonts w:hint="eastAsia" w:ascii="仿宋_GB2312" w:hAnsi="等线" w:eastAsia="仿宋_GB2312" w:cs="宋体"/>
                <w:color w:val="000000"/>
                <w:kern w:val="0"/>
                <w:sz w:val="22"/>
                <w:szCs w:val="22"/>
              </w:rPr>
              <w:t>1</w:t>
            </w:r>
          </w:p>
        </w:tc>
        <w:tc>
          <w:tcPr>
            <w:tcW w:w="1276"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等线" w:eastAsia="仿宋_GB2312" w:cs="宋体"/>
                <w:color w:val="000000"/>
                <w:kern w:val="0"/>
                <w:sz w:val="22"/>
                <w:szCs w:val="22"/>
              </w:rPr>
            </w:pPr>
            <w:r>
              <w:rPr>
                <w:rFonts w:hint="eastAsia" w:ascii="仿宋_GB2312" w:hAnsi="等线" w:eastAsia="仿宋_GB2312" w:cs="宋体"/>
                <w:color w:val="000000"/>
                <w:kern w:val="0"/>
                <w:sz w:val="22"/>
                <w:szCs w:val="22"/>
              </w:rPr>
              <w:t>省际</w:t>
            </w:r>
            <w:r>
              <w:rPr>
                <w:rFonts w:hint="eastAsia" w:ascii="仿宋_GB2312" w:hAnsi="等线" w:eastAsia="仿宋_GB2312" w:cs="宋体"/>
                <w:color w:val="000000"/>
                <w:kern w:val="0"/>
                <w:sz w:val="22"/>
                <w:szCs w:val="22"/>
                <w:lang w:val="en-US" w:eastAsia="zh-CN"/>
              </w:rPr>
              <w:t>2</w:t>
            </w:r>
            <w:r>
              <w:rPr>
                <w:rFonts w:hint="eastAsia" w:ascii="仿宋_GB2312" w:hAnsi="等线" w:eastAsia="仿宋_GB2312" w:cs="宋体"/>
                <w:color w:val="000000"/>
                <w:kern w:val="0"/>
                <w:sz w:val="22"/>
                <w:szCs w:val="22"/>
              </w:rPr>
              <w:t>0M OTN专线</w:t>
            </w:r>
          </w:p>
        </w:tc>
        <w:tc>
          <w:tcPr>
            <w:tcW w:w="6904" w:type="dxa"/>
            <w:tcBorders>
              <w:top w:val="nil"/>
              <w:left w:val="nil"/>
              <w:bottom w:val="single" w:color="auto" w:sz="4" w:space="0"/>
              <w:right w:val="single" w:color="auto" w:sz="4" w:space="0"/>
            </w:tcBorders>
            <w:shd w:val="clear" w:color="auto" w:fill="auto"/>
            <w:noWrap/>
            <w:vAlign w:val="center"/>
          </w:tcPr>
          <w:p>
            <w:pPr>
              <w:widowControl/>
              <w:numPr>
                <w:ilvl w:val="0"/>
                <w:numId w:val="0"/>
              </w:numPr>
              <w:jc w:val="left"/>
              <w:rPr>
                <w:rFonts w:hint="eastAsia" w:ascii="仿宋_GB2312" w:hAnsi="等线" w:eastAsia="仿宋_GB2312" w:cs="宋体"/>
                <w:color w:val="000000"/>
                <w:kern w:val="0"/>
                <w:sz w:val="22"/>
                <w:szCs w:val="22"/>
                <w:lang w:val="en-US" w:eastAsia="zh-CN"/>
              </w:rPr>
            </w:pPr>
            <w:r>
              <w:rPr>
                <w:rFonts w:hint="eastAsia" w:ascii="仿宋_GB2312" w:hAnsi="等线" w:eastAsia="仿宋_GB2312" w:cs="宋体"/>
                <w:color w:val="000000"/>
                <w:kern w:val="0"/>
                <w:sz w:val="22"/>
                <w:szCs w:val="22"/>
                <w:lang w:val="en-US" w:eastAsia="zh-CN"/>
              </w:rPr>
              <w:t>1.</w:t>
            </w:r>
            <w:r>
              <w:rPr>
                <w:rFonts w:hint="eastAsia" w:ascii="仿宋_GB2312" w:hAnsi="等线" w:eastAsia="仿宋_GB2312" w:cs="宋体"/>
                <w:color w:val="000000"/>
                <w:kern w:val="0"/>
                <w:sz w:val="22"/>
                <w:szCs w:val="22"/>
              </w:rPr>
              <w:t>线路采用物理隔离的硬管道传输技术承载，不得使用PON/MPLS VPN/IPRAN/PTN 等IP类统计复用、逻辑隔离方式承载。</w:t>
            </w:r>
          </w:p>
          <w:p>
            <w:pPr>
              <w:widowControl/>
              <w:numPr>
                <w:ilvl w:val="0"/>
                <w:numId w:val="0"/>
              </w:numPr>
              <w:jc w:val="left"/>
              <w:rPr>
                <w:rFonts w:hint="eastAsia"/>
                <w:lang w:val="en-US" w:eastAsia="zh-CN"/>
              </w:rPr>
            </w:pPr>
            <w:r>
              <w:rPr>
                <w:rFonts w:hint="eastAsia" w:ascii="仿宋_GB2312" w:hAnsi="等线" w:eastAsia="仿宋_GB2312" w:cs="宋体"/>
                <w:color w:val="000000"/>
                <w:kern w:val="0"/>
                <w:sz w:val="22"/>
                <w:szCs w:val="22"/>
                <w:lang w:val="en-US" w:eastAsia="zh-CN"/>
              </w:rPr>
              <w:t>2.</w:t>
            </w:r>
            <w:r>
              <w:rPr>
                <w:rFonts w:hint="eastAsia" w:ascii="仿宋_GB2312" w:hAnsi="等线" w:eastAsia="仿宋_GB2312" w:cs="宋体"/>
                <w:color w:val="000000"/>
                <w:kern w:val="0"/>
                <w:sz w:val="22"/>
                <w:szCs w:val="22"/>
              </w:rPr>
              <w:t>专线能够透传上层业务，能够承载数据、语音和视频等多种业务。</w:t>
            </w:r>
            <w:r>
              <w:rPr>
                <w:rFonts w:hint="eastAsia" w:ascii="仿宋_GB2312" w:hAnsi="等线" w:eastAsia="仿宋_GB2312" w:cs="宋体"/>
                <w:color w:val="000000"/>
                <w:kern w:val="0"/>
                <w:sz w:val="22"/>
                <w:szCs w:val="22"/>
                <w:lang w:val="en-US" w:eastAsia="zh-CN"/>
              </w:rPr>
              <w:t>3.</w:t>
            </w:r>
            <w:r>
              <w:rPr>
                <w:rFonts w:hint="eastAsia" w:ascii="仿宋_GB2312" w:hAnsi="等线" w:eastAsia="仿宋_GB2312" w:cs="宋体"/>
                <w:color w:val="000000"/>
                <w:kern w:val="0"/>
                <w:sz w:val="22"/>
                <w:szCs w:val="22"/>
              </w:rPr>
              <w:t>客户接入方式灵活，客户端可采用SDH、以太网、OTN多种接口接入，灵活便捷。</w:t>
            </w:r>
          </w:p>
          <w:p>
            <w:pPr>
              <w:widowControl/>
              <w:jc w:val="left"/>
              <w:rPr>
                <w:rFonts w:hint="eastAsia" w:ascii="仿宋_GB2312" w:hAnsi="等线" w:eastAsia="仿宋_GB2312" w:cs="宋体"/>
                <w:color w:val="000000"/>
                <w:kern w:val="0"/>
                <w:sz w:val="22"/>
                <w:szCs w:val="22"/>
                <w:lang w:val="en-US" w:eastAsia="zh-CN"/>
              </w:rPr>
            </w:pPr>
            <w:r>
              <w:rPr>
                <w:rFonts w:hint="eastAsia" w:ascii="仿宋_GB2312" w:hAnsi="等线" w:eastAsia="仿宋_GB2312" w:cs="宋体"/>
                <w:color w:val="000000"/>
                <w:kern w:val="0"/>
                <w:sz w:val="22"/>
                <w:szCs w:val="22"/>
                <w:lang w:val="en-US" w:eastAsia="zh-CN"/>
              </w:rPr>
              <w:t>4.</w:t>
            </w:r>
            <w:r>
              <w:rPr>
                <w:rFonts w:hint="eastAsia" w:ascii="仿宋_GB2312" w:hAnsi="等线" w:eastAsia="仿宋_GB2312" w:cs="宋体"/>
                <w:color w:val="000000"/>
                <w:kern w:val="0"/>
                <w:sz w:val="22"/>
                <w:szCs w:val="22"/>
              </w:rPr>
              <w:t>具备全程端到端支持故障快速定界定位能力，即具有一套管理系统界面提供端到端业务指标可视化界面，包括所有业务完整传输路由拓扑结构、设备故障快速定界定位、网络资源可视、告警性能可视、带宽利用率等业务状态查询。</w:t>
            </w:r>
          </w:p>
          <w:p>
            <w:pPr>
              <w:widowControl/>
              <w:jc w:val="left"/>
              <w:rPr>
                <w:rFonts w:hint="eastAsia" w:ascii="仿宋_GB2312" w:hAnsi="等线" w:eastAsia="仿宋_GB2312" w:cs="宋体"/>
                <w:color w:val="000000"/>
                <w:kern w:val="0"/>
                <w:sz w:val="22"/>
                <w:szCs w:val="22"/>
              </w:rPr>
            </w:pPr>
            <w:r>
              <w:rPr>
                <w:rFonts w:hint="eastAsia" w:ascii="仿宋_GB2312" w:hAnsi="等线" w:eastAsia="仿宋_GB2312" w:cs="宋体"/>
                <w:color w:val="000000"/>
                <w:kern w:val="0"/>
                <w:sz w:val="22"/>
                <w:szCs w:val="22"/>
                <w:lang w:val="en-US" w:eastAsia="zh-CN"/>
              </w:rPr>
              <w:t>3.</w:t>
            </w:r>
            <w:r>
              <w:rPr>
                <w:rFonts w:hint="eastAsia" w:ascii="仿宋_GB2312" w:hAnsi="等线" w:eastAsia="仿宋_GB2312" w:cs="宋体"/>
                <w:color w:val="000000"/>
                <w:kern w:val="0"/>
                <w:sz w:val="22"/>
                <w:szCs w:val="22"/>
              </w:rPr>
              <w:t>具备实时状态呈现的平台，可实时呈现专线的通断状态和时延等信息。</w:t>
            </w:r>
          </w:p>
          <w:p>
            <w:pPr>
              <w:widowControl/>
              <w:jc w:val="left"/>
              <w:rPr>
                <w:rFonts w:hint="eastAsia" w:ascii="仿宋_GB2312" w:hAnsi="等线" w:eastAsia="仿宋_GB2312" w:cs="宋体"/>
                <w:color w:val="000000"/>
                <w:kern w:val="0"/>
                <w:sz w:val="22"/>
                <w:szCs w:val="22"/>
                <w:lang w:val="en-US" w:eastAsia="zh-CN"/>
              </w:rPr>
            </w:pPr>
            <w:r>
              <w:rPr>
                <w:rFonts w:hint="eastAsia" w:ascii="仿宋_GB2312" w:hAnsi="等线" w:eastAsia="仿宋_GB2312" w:cs="宋体"/>
                <w:color w:val="000000"/>
                <w:kern w:val="0"/>
                <w:sz w:val="22"/>
                <w:szCs w:val="22"/>
                <w:lang w:val="en-US" w:eastAsia="zh-CN"/>
              </w:rPr>
              <w:t>4.</w:t>
            </w:r>
            <w:r>
              <w:rPr>
                <w:rFonts w:hint="eastAsia" w:ascii="仿宋_GB2312" w:hAnsi="等线" w:eastAsia="仿宋_GB2312" w:cs="宋体"/>
                <w:color w:val="000000"/>
                <w:kern w:val="0"/>
                <w:sz w:val="22"/>
                <w:szCs w:val="22"/>
              </w:rPr>
              <w:t>可通过Web门户等前端平台实时（分钟级）无损地调整专线带宽大小，满足采购人临时性、突发性的带宽增速需求。</w:t>
            </w:r>
          </w:p>
          <w:p>
            <w:pPr>
              <w:widowControl/>
              <w:jc w:val="left"/>
              <w:rPr>
                <w:rFonts w:hint="eastAsia" w:ascii="仿宋_GB2312" w:hAnsi="等线" w:eastAsia="仿宋_GB2312" w:cs="宋体"/>
                <w:color w:val="000000"/>
                <w:kern w:val="0"/>
                <w:sz w:val="22"/>
                <w:szCs w:val="22"/>
              </w:rPr>
            </w:pPr>
            <w:r>
              <w:rPr>
                <w:rFonts w:hint="eastAsia" w:ascii="仿宋_GB2312" w:hAnsi="等线" w:eastAsia="仿宋_GB2312" w:cs="宋体"/>
                <w:color w:val="000000"/>
                <w:kern w:val="0"/>
                <w:sz w:val="22"/>
                <w:szCs w:val="22"/>
                <w:lang w:val="en-US" w:eastAsia="zh-CN"/>
              </w:rPr>
              <w:t>5.</w:t>
            </w:r>
            <w:r>
              <w:rPr>
                <w:rFonts w:hint="eastAsia" w:ascii="仿宋_GB2312" w:hAnsi="等线" w:eastAsia="仿宋_GB2312" w:cs="宋体"/>
                <w:color w:val="000000"/>
                <w:kern w:val="0"/>
                <w:sz w:val="22"/>
                <w:szCs w:val="22"/>
              </w:rPr>
              <w:t>为确保采购人业务连续性和长期演进，专线承载设备需具备充足生命周期，保证在周期内能获得设备制造厂商的软硬件服务支持。</w:t>
            </w:r>
          </w:p>
          <w:p>
            <w:pPr>
              <w:widowControl/>
              <w:numPr>
                <w:ilvl w:val="0"/>
                <w:numId w:val="0"/>
              </w:numPr>
              <w:jc w:val="left"/>
              <w:rPr>
                <w:rFonts w:hint="eastAsia"/>
              </w:rPr>
            </w:pPr>
            <w:r>
              <w:rPr>
                <w:rFonts w:hint="eastAsia" w:ascii="仿宋_GB2312" w:hAnsi="等线" w:eastAsia="仿宋_GB2312" w:cs="宋体"/>
                <w:color w:val="000000"/>
                <w:kern w:val="0"/>
                <w:sz w:val="22"/>
                <w:szCs w:val="22"/>
                <w:lang w:val="en-US" w:eastAsia="zh-CN"/>
              </w:rPr>
              <w:t>6.</w:t>
            </w:r>
            <w:r>
              <w:rPr>
                <w:rFonts w:hint="eastAsia" w:ascii="仿宋_GB2312" w:hAnsi="等线" w:eastAsia="仿宋_GB2312" w:cs="宋体"/>
                <w:color w:val="000000"/>
                <w:kern w:val="0"/>
                <w:sz w:val="22"/>
                <w:szCs w:val="22"/>
              </w:rPr>
              <w:t>为保障业务的安全性，投标人安装在采购人机房用于接收内网信息的客户端设备，需符合我国网络安全审查技术标准，例如CCRC-EAL-TR标准等。需提供客户端设备信息安全认证证书（由国家安全审查技术与认证机构签发）</w:t>
            </w:r>
            <w:r>
              <w:rPr>
                <w:rFonts w:hint="eastAsia" w:ascii="仿宋_GB2312" w:hAnsi="等线" w:eastAsia="仿宋_GB2312" w:cs="宋体"/>
                <w:color w:val="000000"/>
                <w:kern w:val="0"/>
                <w:sz w:val="22"/>
                <w:szCs w:val="22"/>
                <w:lang w:eastAsia="zh-CN"/>
              </w:rPr>
              <w:t>，</w:t>
            </w:r>
            <w:r>
              <w:rPr>
                <w:rFonts w:hint="eastAsia" w:ascii="仿宋_GB2312" w:hAnsi="等线" w:eastAsia="仿宋_GB2312" w:cs="宋体"/>
                <w:color w:val="000000"/>
                <w:kern w:val="0"/>
                <w:sz w:val="22"/>
                <w:szCs w:val="22"/>
              </w:rPr>
              <w:t>且认证评定结果需达到评估保障级4增强级要求。</w:t>
            </w:r>
          </w:p>
        </w:tc>
      </w:tr>
    </w:tbl>
    <w:p>
      <w:pPr>
        <w:numPr>
          <w:ilvl w:val="0"/>
          <w:numId w:val="1"/>
        </w:numPr>
        <w:wordWrap/>
        <w:spacing w:before="0" w:after="0" w:line="360" w:lineRule="auto"/>
        <w:ind w:left="0" w:leftChars="0" w:right="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sz w:val="32"/>
          <w:szCs w:val="32"/>
          <w:lang w:val="en-US" w:eastAsia="zh-CN"/>
        </w:rPr>
        <w:t>其他要求</w:t>
      </w:r>
    </w:p>
    <w:p>
      <w:pPr>
        <w:numPr>
          <w:ilvl w:val="0"/>
          <w:numId w:val="0"/>
        </w:numPr>
        <w:wordWrap/>
        <w:spacing w:before="0" w:after="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1、本项目系统须同时覆盖我院滨海院区，功能与技术要求与本部院区一致。应结合我院实际医疗及管理需要，对系统进行客户化修改，包括但不限于结合医院实际管理需求。</w:t>
      </w:r>
    </w:p>
    <w:p>
      <w:pPr>
        <w:pStyle w:val="14"/>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由于本项目系统需符合国产化要求，不得使用主管部门禁止使用的操作系统及数据库，必须配备正版的国产化操作系统、数据库、中间件及前端国产化工作站。同时本项目验收前按政策或是按院方需要提供有资质的第三方公司开展的密码应用安全性测评、信息技术应用创新符合性测试，并提供相关的证明。暂时未能实现的，后续政策要求时不再另行收费，并在投标文件中出具承诺函。</w:t>
      </w:r>
    </w:p>
    <w:p>
      <w:pPr>
        <w:pStyle w:val="14"/>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3、本项目系统需符合《信息安全技术网络安全等级保护基本要求》GB/T22239-2019（三级）要求（简称：三级等保2.0）及密码应用安全性评估，并在以上评审中协助完成本系统评审工作。</w:t>
      </w:r>
    </w:p>
    <w:p>
      <w:pPr>
        <w:pStyle w:val="14"/>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三年内免费实施政策性国家、省市各平台的数据接口、数据上传等服务及免费实施国密改造、国产化改造，包括但不限于：福建省卫健委居民健康综合服务平台、福建省三医一网数据上报平台、福建省检查检验结果互联互通互认平台、福建省卫健委多码融合项目等，产生相应指标，推送至医疗平台接口中（涉及其他系统，应与其他系统配合实施）。</w:t>
      </w:r>
    </w:p>
    <w:p>
      <w:pPr>
        <w:pStyle w:val="14"/>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5、本项目系统应提供与医院HIS，电子病历、危急值平台、报告平台、麻醉耗材、患者360（含HIS360、CDR360）等系统无缝集成接口，符合电子病历6级、医院的互联互通5级、智慧医院4级的建设要求。</w:t>
      </w:r>
    </w:p>
    <w:p>
      <w:pPr>
        <w:pStyle w:val="14"/>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6、本项目为交钥匙工程，本项目系统与各业务系统及设备的数据接口由中标人自行负责。本项目涉及院内现有各业务系统接口的，采购人不再向中标人支付接口费用。</w:t>
      </w:r>
    </w:p>
    <w:p>
      <w:pPr>
        <w:pStyle w:val="14"/>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具备与集成平台通过统一的数据接口，实现浏览各检查报告具备通过系统集成平台按照国家、院内、院级数据集标准进行数据交换。具备多模式下数据交换接口的切换管理，诸如：集成平台出现故障时，可切换成应用系统服务接口模式或数据表模式，集成平台恢复时，可重新切换成集成平台。</w:t>
      </w:r>
    </w:p>
    <w:p>
      <w:pPr>
        <w:pStyle w:val="14"/>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8、根据国家《医院信息系统功能规范》第十二条以及国家信息化建设审计要求，必须提供完整的总体设计报告、需求分析说明书、上线测试报告、操作使用手册、系统维护手册等。</w:t>
      </w:r>
    </w:p>
    <w:p>
      <w:pPr>
        <w:pStyle w:val="14"/>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数据具备各数据表基础数据项的完整性，诸如：数据的创建人、创建时间、最后修改人、最后修改时间等；具备应用系统数据修改痕迹管理，各项核心业务的数据修改必须以日志形式保存，数据修改日志至少必须有“数据基础信息”、“修改前数据”、“修改后数据”、“修改人”、“修改时间”五个部分核心数据项组成；具备应用系统可以手动设置本地日志的保存目录，并自动必须定期清除。</w:t>
      </w:r>
    </w:p>
    <w:p>
      <w:pPr>
        <w:pStyle w:val="14"/>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本项目系统所有的工作流程节点（诸如：工作环节名称、患者ID、操作人、操作时间等）必须发送至全院工作流程管理平台进行接收、存储；本项目所涉及的影像文件（照片、图像等），则必须与全院统一影像数据中台实现交互，全部由全院统一影像数据中台进行管理（接收、存储、调阅等），原则上本项目服务器及应用系统不保存所涉及的影像文件（照片、图像等）；各具体接口技术方案待实施时由采购人提供。</w:t>
      </w:r>
    </w:p>
    <w:p>
      <w:pPr>
        <w:pStyle w:val="14"/>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11、与医院现有CA数字签名功能实现对接，满足医院各法规需要。</w:t>
      </w:r>
    </w:p>
    <w:p>
      <w:pPr>
        <w:pStyle w:val="14"/>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12、本项目系统若需接入医院APP(实现院外移动端查询)，则中标人应提供H5接口，并支付相应接口费用（不超过3万元），是否需接入医院APP以项目验收时采购人需求为准。</w:t>
      </w:r>
    </w:p>
    <w:p>
      <w:pPr>
        <w:pStyle w:val="14"/>
        <w:numPr>
          <w:ilvl w:val="0"/>
          <w:numId w:val="0"/>
        </w:numPr>
        <w:wordWrap/>
        <w:spacing w:before="0" w:beforeAutospacing="0" w:after="0" w:afterAutospacing="0" w:line="360" w:lineRule="auto"/>
        <w:ind w:right="0" w:rightChars="0"/>
        <w:jc w:val="both"/>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13、</w:t>
      </w:r>
      <w:bookmarkStart w:id="0" w:name="OLE_LINK1"/>
      <w:r>
        <w:rPr>
          <w:rFonts w:hint="eastAsia" w:ascii="仿宋_GB2312" w:hAnsi="仿宋_GB2312" w:eastAsia="仿宋_GB2312" w:cs="仿宋_GB2312"/>
          <w:color w:val="auto"/>
          <w:sz w:val="32"/>
          <w:szCs w:val="32"/>
          <w:lang w:val="en-US" w:eastAsia="zh-CN"/>
        </w:rPr>
        <w:t>在本项目系统软件使用及维保有效期内，本项目软件在每个使用科室使用的终端数量不受限制，数据不得加密，不得使用加密狗、打印加密、功能加密等任何软件使用约束。同时，乙方须如实向甲方提供数据库管理员的用户名、密码以及相关用户权限信息，不得隐瞒。不得通过任何技术手段限制系统内容，数据表结构不得加密，且必须如实提供给甲方。</w:t>
      </w:r>
      <w:bookmarkEnd w:id="0"/>
    </w:p>
    <w:p>
      <w:pPr>
        <w:pStyle w:val="14"/>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14、本项目软件部分按总价进行报价，不能以安装工作站数量进行报价。</w:t>
      </w:r>
    </w:p>
    <w:p>
      <w:pPr>
        <w:pStyle w:val="14"/>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15、本项目需完成旧系统中的历史数据导入，旧系统中非自动产生的数据（如手工输入值等），在新系统中可不体现或以默认值体现。若有涉及接口费用，由中标方负责，采购人不再向中标人支付接口费用。</w:t>
      </w:r>
    </w:p>
    <w:p>
      <w:pPr>
        <w:pStyle w:val="14"/>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16、本项目软件版面色彩、风格等应按医院要求设计制作；软件标题只能出现医院logo及系统名称，不能出现公司名称，公司名称允许在帮助（help）的关于（about）中出现。具体版面另行通知。</w:t>
      </w:r>
    </w:p>
    <w:p>
      <w:pPr>
        <w:pStyle w:val="14"/>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17、本项目系统安装调试并经验收合格后，应对采购方的相关人员提供关于系统应用时技术和操作方面的培训。相关培训费用应包含在投标总价中。</w:t>
      </w:r>
    </w:p>
    <w:p>
      <w:pPr>
        <w:pStyle w:val="13"/>
        <w:numPr>
          <w:ilvl w:val="0"/>
          <w:numId w:val="1"/>
        </w:numPr>
        <w:spacing w:line="360" w:lineRule="auto"/>
        <w:rPr>
          <w:rFonts w:hint="eastAsia" w:ascii="仿宋_GB2312" w:hAnsi="仿宋_GB2312" w:cs="仿宋_GB2312"/>
          <w:b/>
          <w:bCs/>
          <w:sz w:val="32"/>
          <w:szCs w:val="32"/>
        </w:rPr>
      </w:pPr>
      <w:r>
        <w:rPr>
          <w:rFonts w:hint="eastAsia" w:ascii="仿宋_GB2312" w:hAnsi="仿宋_GB2312" w:cs="仿宋_GB2312"/>
          <w:b/>
          <w:bCs/>
          <w:sz w:val="32"/>
          <w:szCs w:val="32"/>
        </w:rPr>
        <w:t>调研说明</w:t>
      </w:r>
    </w:p>
    <w:p>
      <w:pPr>
        <w:shd w:val="solid" w:color="FFFFFF" w:fill="auto"/>
        <w:autoSpaceDN w:val="0"/>
        <w:spacing w:line="360" w:lineRule="auto"/>
        <w:ind w:firstLine="640" w:firstLineChars="200"/>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报名参加本次调研的供应商、厂家需提供如下相关资料。</w:t>
      </w:r>
    </w:p>
    <w:p>
      <w:pPr>
        <w:widowControl/>
        <w:numPr>
          <w:ilvl w:val="0"/>
          <w:numId w:val="2"/>
        </w:numPr>
        <w:spacing w:line="360" w:lineRule="auto"/>
        <w:ind w:firstLine="720" w:firstLineChars="200"/>
        <w:rPr>
          <w:rFonts w:hint="eastAsia" w:ascii="仿宋_GB2312" w:hAnsi="仿宋_GB2312" w:eastAsia="仿宋_GB2312" w:cs="仿宋_GB2312"/>
          <w:color w:val="000000"/>
          <w:kern w:val="0"/>
          <w:sz w:val="36"/>
          <w:szCs w:val="36"/>
        </w:rPr>
      </w:pPr>
      <w:r>
        <w:rPr>
          <w:rFonts w:hint="eastAsia" w:ascii="仿宋_GB2312" w:hAnsi="仿宋_GB2312" w:eastAsia="仿宋_GB2312" w:cs="仿宋_GB2312"/>
          <w:color w:val="000000"/>
          <w:kern w:val="0"/>
          <w:sz w:val="36"/>
          <w:szCs w:val="36"/>
        </w:rPr>
        <w:t>报名时请携带加盖公章的项目文件回执单、营业执照复印件、公司简介（可含</w:t>
      </w:r>
      <w:r>
        <w:rPr>
          <w:rFonts w:hint="eastAsia" w:ascii="仿宋_GB2312" w:hAnsi="仿宋_GB2312" w:eastAsia="仿宋_GB2312" w:cs="仿宋_GB2312"/>
          <w:bCs/>
          <w:sz w:val="36"/>
          <w:szCs w:val="36"/>
          <w:shd w:val="clear" w:color="auto" w:fill="FFFFFF"/>
        </w:rPr>
        <w:t>提供设备彩页等）</w:t>
      </w:r>
      <w:r>
        <w:rPr>
          <w:rFonts w:hint="eastAsia" w:ascii="仿宋_GB2312" w:hAnsi="仿宋_GB2312" w:eastAsia="仿宋_GB2312" w:cs="仿宋_GB2312"/>
          <w:color w:val="000000"/>
          <w:kern w:val="0"/>
          <w:sz w:val="36"/>
          <w:szCs w:val="36"/>
        </w:rPr>
        <w:t>。</w:t>
      </w:r>
    </w:p>
    <w:p>
      <w:pPr>
        <w:pStyle w:val="13"/>
        <w:spacing w:line="360" w:lineRule="auto"/>
      </w:pPr>
    </w:p>
    <w:p>
      <w:pPr>
        <w:widowControl/>
        <w:shd w:val="clear" w:color="auto" w:fill="FFFFFF"/>
        <w:spacing w:line="360" w:lineRule="auto"/>
        <w:ind w:firstLine="608" w:firstLineChars="200"/>
        <w:rPr>
          <w:rFonts w:hint="eastAsia" w:ascii="仿宋_GB2312" w:hAnsi="仿宋_GB2312" w:eastAsia="仿宋_GB2312" w:cs="仿宋_GB2312"/>
          <w:color w:val="000000"/>
          <w:spacing w:val="-8"/>
          <w:kern w:val="0"/>
          <w:sz w:val="32"/>
          <w:szCs w:val="32"/>
          <w:shd w:val="clear" w:color="auto" w:fill="FFFFFF"/>
        </w:rPr>
      </w:pPr>
      <w:r>
        <w:rPr>
          <w:rFonts w:hint="eastAsia" w:ascii="仿宋_GB2312" w:hAnsi="仿宋_GB2312" w:eastAsia="仿宋_GB2312" w:cs="仿宋_GB2312"/>
          <w:color w:val="000000"/>
          <w:spacing w:val="-8"/>
          <w:kern w:val="0"/>
          <w:sz w:val="32"/>
          <w:szCs w:val="32"/>
          <w:shd w:val="clear" w:color="auto" w:fill="FFFFFF"/>
        </w:rPr>
        <w:t>2、参与项目调研供应商代表的个人授权函（需加盖供应商公章）和身份证复印件。</w:t>
      </w:r>
    </w:p>
    <w:p>
      <w:pPr>
        <w:widowControl/>
        <w:shd w:val="clear" w:color="auto" w:fill="FFFFFF"/>
        <w:spacing w:line="360" w:lineRule="auto"/>
        <w:ind w:firstLine="608" w:firstLineChars="200"/>
        <w:rPr>
          <w:rFonts w:hint="eastAsia" w:ascii="仿宋_GB2312" w:hAnsi="仿宋_GB2312" w:eastAsia="仿宋_GB2312" w:cs="仿宋_GB2312"/>
          <w:color w:val="000000"/>
          <w:spacing w:val="-8"/>
          <w:kern w:val="0"/>
          <w:sz w:val="32"/>
          <w:szCs w:val="32"/>
          <w:shd w:val="clear" w:color="auto" w:fill="FFFFFF"/>
        </w:rPr>
      </w:pPr>
      <w:r>
        <w:rPr>
          <w:rFonts w:hint="eastAsia" w:ascii="仿宋_GB2312" w:hAnsi="仿宋_GB2312" w:eastAsia="仿宋_GB2312" w:cs="仿宋_GB2312"/>
          <w:color w:val="000000"/>
          <w:spacing w:val="-8"/>
          <w:kern w:val="0"/>
          <w:sz w:val="32"/>
          <w:szCs w:val="32"/>
          <w:shd w:val="clear" w:color="auto" w:fill="FFFFFF"/>
        </w:rPr>
        <w:t>3、分别提供“信用中国”网站（www.creditchina.gov.cn）、“中国政府采购网”网站（http://www.ccgp.gov.cn/search/cr/）信用记录查询截图，无不良记录并加盖公章（截图查询日期必须在该公告日期内）。</w:t>
      </w:r>
    </w:p>
    <w:p>
      <w:pPr>
        <w:pStyle w:val="13"/>
        <w:spacing w:line="360" w:lineRule="auto"/>
        <w:ind w:firstLine="608" w:firstLineChars="200"/>
        <w:rPr>
          <w:rFonts w:hint="eastAsia"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4、提供业绩清单及近3年省内同类项目中标书</w:t>
      </w:r>
    </w:p>
    <w:p>
      <w:pPr>
        <w:pStyle w:val="13"/>
        <w:spacing w:line="360" w:lineRule="auto"/>
        <w:ind w:firstLine="608" w:firstLineChars="200"/>
        <w:rPr>
          <w:rFonts w:hint="eastAsia"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5、本调研会的报价仅做为本项目公开招标的预算限价；不做参与投标的限制条件；</w:t>
      </w:r>
    </w:p>
    <w:p>
      <w:pPr>
        <w:pStyle w:val="13"/>
        <w:spacing w:line="360" w:lineRule="auto"/>
        <w:ind w:firstLine="608" w:firstLineChars="200"/>
        <w:rPr>
          <w:rFonts w:hint="eastAsia"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6、上述各参数将做为本项目招标的主要参数，不代表本项目公开招标的最终参数；</w:t>
      </w:r>
    </w:p>
    <w:p>
      <w:pPr>
        <w:pStyle w:val="13"/>
        <w:spacing w:line="360" w:lineRule="auto"/>
        <w:ind w:firstLine="608" w:firstLineChars="200"/>
        <w:rPr>
          <w:rFonts w:hint="eastAsia"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7、参加调研会的公司应准备PPT材料（含方案介绍、服务及集成能力、应用案例、报价等）、技术参数等材料，每公司讲解时间30分钟（含答疑10分钟）；同时上述材料须交予院方留档（发送邮件到wlb@fjzlhospital.com，并提供U盘留档）。</w:t>
      </w:r>
    </w:p>
    <w:p>
      <w:pPr>
        <w:pStyle w:val="13"/>
        <w:spacing w:line="360" w:lineRule="auto"/>
        <w:rPr>
          <w:rFonts w:hint="eastAsia" w:ascii="仿宋_GB2312" w:hAnsi="仿宋_GB2312" w:cs="仿宋_GB2312"/>
          <w:sz w:val="32"/>
          <w:szCs w:val="32"/>
        </w:rPr>
      </w:pPr>
      <w:r>
        <w:rPr>
          <w:rFonts w:hint="eastAsia" w:ascii="仿宋_GB2312" w:hAnsi="仿宋_GB2312" w:cs="仿宋_GB2312"/>
          <w:sz w:val="32"/>
          <w:szCs w:val="32"/>
        </w:rPr>
        <w:br w:type="page"/>
      </w:r>
    </w:p>
    <w:p>
      <w:pPr>
        <w:shd w:val="solid" w:color="FFFFFF" w:fill="auto"/>
        <w:autoSpaceDN w:val="0"/>
        <w:spacing w:line="360" w:lineRule="auto"/>
        <w:jc w:val="center"/>
        <w:rPr>
          <w:rFonts w:hint="eastAsia" w:ascii="仿宋_GB2312" w:hAnsi="仿宋_GB2312" w:eastAsia="仿宋_GB2312" w:cs="仿宋_GB2312"/>
          <w:b/>
          <w:color w:val="000000"/>
          <w:sz w:val="32"/>
          <w:szCs w:val="32"/>
          <w:shd w:val="clear" w:color="auto" w:fill="FFFFFF"/>
        </w:rPr>
      </w:pPr>
    </w:p>
    <w:p>
      <w:pPr>
        <w:shd w:val="solid" w:color="FFFFFF" w:fill="auto"/>
        <w:autoSpaceDN w:val="0"/>
        <w:spacing w:line="360" w:lineRule="auto"/>
        <w:jc w:val="center"/>
        <w:rPr>
          <w:rFonts w:hint="eastAsia" w:ascii="仿宋_GB2312" w:hAnsi="仿宋_GB2312" w:eastAsia="仿宋_GB2312" w:cs="仿宋_GB2312"/>
          <w:b/>
          <w:sz w:val="32"/>
          <w:szCs w:val="32"/>
          <w:shd w:val="clear" w:color="auto" w:fill="FFFFFF"/>
        </w:rPr>
      </w:pPr>
      <w:r>
        <w:rPr>
          <w:rFonts w:hint="eastAsia" w:ascii="仿宋_GB2312" w:hAnsi="仿宋_GB2312" w:eastAsia="仿宋_GB2312" w:cs="仿宋_GB2312"/>
          <w:b/>
          <w:color w:val="000000"/>
          <w:sz w:val="32"/>
          <w:szCs w:val="32"/>
          <w:shd w:val="clear" w:color="auto" w:fill="FFFFFF"/>
        </w:rPr>
        <w:t>项目文件回执单</w:t>
      </w:r>
    </w:p>
    <w:p>
      <w:pPr>
        <w:shd w:val="solid" w:color="FFFFFF" w:fill="auto"/>
        <w:autoSpaceDN w:val="0"/>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shd w:val="clear" w:color="auto" w:fill="FFFFFF"/>
        </w:rPr>
        <w:t>请有意向参与的公司在项目公示期内携带回执单至福建省肿瘤医院网络技术中心报名。</w:t>
      </w:r>
    </w:p>
    <w:tbl>
      <w:tblPr>
        <w:tblStyle w:val="9"/>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项目名称</w:t>
            </w:r>
          </w:p>
        </w:tc>
        <w:tc>
          <w:tcPr>
            <w:tcW w:w="2115"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品牌及型号</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360" w:lineRule="auto"/>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360" w:lineRule="auto"/>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360" w:lineRule="auto"/>
              <w:rPr>
                <w:rFonts w:hint="eastAsia" w:ascii="仿宋_GB2312" w:hAnsi="仿宋_GB2312" w:eastAsia="仿宋_GB2312" w:cs="仿宋_GB2312"/>
                <w:bCs/>
                <w:sz w:val="28"/>
                <w:szCs w:val="28"/>
                <w:shd w:val="clear" w:color="auto" w:fill="FFFFFF"/>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360" w:lineRule="auto"/>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360" w:lineRule="auto"/>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360" w:lineRule="auto"/>
              <w:rPr>
                <w:rFonts w:hint="eastAsia" w:ascii="仿宋_GB2312" w:hAnsi="仿宋_GB2312" w:eastAsia="仿宋_GB2312" w:cs="仿宋_GB2312"/>
                <w:bCs/>
                <w:sz w:val="28"/>
                <w:szCs w:val="28"/>
                <w:shd w:val="clear" w:color="auto" w:fill="FFFFFF"/>
              </w:rPr>
            </w:pPr>
          </w:p>
        </w:tc>
      </w:tr>
    </w:tbl>
    <w:p>
      <w:pPr>
        <w:shd w:val="solid" w:color="FFFFFF" w:fill="auto"/>
        <w:autoSpaceDN w:val="0"/>
        <w:spacing w:line="360" w:lineRule="auto"/>
        <w:rPr>
          <w:rFonts w:hint="eastAsia" w:ascii="仿宋_GB2312" w:hAnsi="仿宋_GB2312" w:eastAsia="仿宋_GB2312" w:cs="仿宋_GB2312"/>
          <w:bCs/>
          <w:sz w:val="32"/>
          <w:szCs w:val="32"/>
          <w:shd w:val="clear" w:color="auto" w:fill="FFFFFF"/>
        </w:rPr>
      </w:pPr>
    </w:p>
    <w:p>
      <w:pPr>
        <w:shd w:val="solid" w:color="FFFFFF" w:fill="auto"/>
        <w:autoSpaceDN w:val="0"/>
        <w:spacing w:line="360" w:lineRule="auto"/>
        <w:rPr>
          <w:rFonts w:hint="eastAsia" w:ascii="仿宋_GB2312" w:hAnsi="仿宋_GB2312" w:eastAsia="仿宋_GB2312" w:cs="仿宋_GB2312"/>
          <w:bCs/>
          <w:sz w:val="32"/>
          <w:szCs w:val="32"/>
          <w:shd w:val="clear" w:color="auto" w:fill="FFFFFF"/>
        </w:rPr>
      </w:pPr>
    </w:p>
    <w:p>
      <w:pPr>
        <w:shd w:val="solid" w:color="FFFFFF" w:fill="auto"/>
        <w:autoSpaceDN w:val="0"/>
        <w:spacing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公司名称：</w:t>
      </w:r>
    </w:p>
    <w:p>
      <w:pPr>
        <w:shd w:val="solid" w:color="FFFFFF" w:fill="auto"/>
        <w:autoSpaceDN w:val="0"/>
        <w:spacing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 xml:space="preserve">联系人：　 </w:t>
      </w:r>
    </w:p>
    <w:p>
      <w:pPr>
        <w:shd w:val="solid" w:color="FFFFFF" w:fill="auto"/>
        <w:autoSpaceDN w:val="0"/>
        <w:spacing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联系电话：</w:t>
      </w:r>
    </w:p>
    <w:p>
      <w:pPr>
        <w:shd w:val="solid" w:color="FFFFFF" w:fill="auto"/>
        <w:autoSpaceDN w:val="0"/>
        <w:spacing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公司盖章：</w:t>
      </w:r>
    </w:p>
    <w:p>
      <w:pPr>
        <w:shd w:val="solid" w:color="FFFFFF" w:fill="auto"/>
        <w:autoSpaceDN w:val="0"/>
        <w:spacing w:line="360" w:lineRule="auto"/>
        <w:rPr>
          <w:rFonts w:hint="eastAsia" w:ascii="仿宋_GB2312" w:hAnsi="仿宋_GB2312" w:eastAsia="仿宋_GB2312" w:cs="仿宋_GB2312"/>
          <w:bCs/>
          <w:sz w:val="32"/>
          <w:szCs w:val="32"/>
          <w:shd w:val="clear" w:color="auto" w:fill="FFFFFF"/>
        </w:rPr>
      </w:pPr>
    </w:p>
    <w:p>
      <w:pPr>
        <w:pStyle w:val="13"/>
        <w:spacing w:line="360" w:lineRule="auto"/>
        <w:rPr>
          <w:rFonts w:hint="eastAsia" w:ascii="仿宋_GB2312" w:hAnsi="仿宋_GB2312" w:cs="仿宋_GB2312"/>
          <w:bCs/>
          <w:sz w:val="32"/>
          <w:szCs w:val="32"/>
          <w:shd w:val="clear" w:color="auto" w:fill="FFFFFF"/>
        </w:rPr>
      </w:pPr>
    </w:p>
    <w:p>
      <w:pPr>
        <w:pStyle w:val="13"/>
        <w:spacing w:line="360" w:lineRule="auto"/>
        <w:rPr>
          <w:rFonts w:hint="eastAsia" w:ascii="仿宋_GB2312" w:hAnsi="仿宋_GB2312" w:cs="仿宋_GB2312"/>
          <w:sz w:val="32"/>
          <w:szCs w:val="32"/>
        </w:rPr>
      </w:pPr>
      <w:r>
        <w:rPr>
          <w:rFonts w:hint="eastAsia" w:ascii="仿宋_GB2312" w:hAnsi="仿宋_GB2312" w:cs="仿宋_GB2312"/>
          <w:sz w:val="32"/>
          <w:szCs w:val="32"/>
        </w:rPr>
        <w:t xml:space="preserve">                                        福建省肿瘤医院</w:t>
      </w:r>
    </w:p>
    <w:p>
      <w:pPr>
        <w:pStyle w:val="13"/>
        <w:spacing w:line="360" w:lineRule="auto"/>
        <w:rPr>
          <w:rFonts w:hint="eastAsia" w:ascii="仿宋_GB2312" w:hAnsi="仿宋_GB2312" w:cs="仿宋_GB2312"/>
          <w:sz w:val="32"/>
          <w:szCs w:val="32"/>
        </w:rPr>
      </w:pPr>
      <w:r>
        <w:rPr>
          <w:rFonts w:hint="eastAsia" w:ascii="仿宋_GB2312" w:hAnsi="仿宋_GB2312" w:cs="仿宋_GB2312"/>
          <w:sz w:val="32"/>
          <w:szCs w:val="32"/>
        </w:rPr>
        <w:t xml:space="preserve">                                           年  月  日</w:t>
      </w:r>
    </w:p>
    <w:p/>
    <w:sectPr>
      <w:footerReference r:id="rId3" w:type="default"/>
      <w:pgSz w:w="12240" w:h="15840"/>
      <w:pgMar w:top="1417" w:right="1587" w:bottom="1417" w:left="1587" w:header="720" w:footer="720" w:gutter="0"/>
      <w:cols w:space="72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rFonts w:cs="Times New Roma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945" cy="162560"/>
              <wp:effectExtent l="0" t="0" r="0" b="0"/>
              <wp:wrapNone/>
              <wp:docPr id="1" name="Quad Arrow 1025"/>
              <wp:cNvGraphicFramePr/>
              <a:graphic xmlns:a="http://schemas.openxmlformats.org/drawingml/2006/main">
                <a:graphicData uri="http://schemas.microsoft.com/office/word/2010/wordprocessingShape">
                  <wps:wsp>
                    <wps:cNvSpPr/>
                    <wps:spPr>
                      <a:xfrm>
                        <a:off x="0" y="0"/>
                        <a:ext cx="67945" cy="16256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wrap="none" lIns="0" tIns="0" rIns="0" bIns="0" upright="1">
                      <a:spAutoFit/>
                    </wps:bodyPr>
                  </wps:wsp>
                </a:graphicData>
              </a:graphic>
            </wp:anchor>
          </w:drawing>
        </mc:Choice>
        <mc:Fallback>
          <w:pict>
            <v:rect id="Quad Arrow 1025" o:spid="_x0000_s1026" o:spt="1" style="position:absolute;left:0pt;margin-top:0pt;height:12.8pt;width:5.35pt;mso-position-horizontal:center;mso-position-horizontal-relative:margin;mso-wrap-style:none;z-index:251659264;mso-width-relative:page;mso-height-relative:page;" filled="f" stroked="f" coordsize="21600,21600" o:gfxdata="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XFpMj9EAAAADAQAADwAAAAAAAAABACAAAAAiAAAAZHJzL2Rvd25yZXYueG1sUEsBAhQAFAAA&#10;AAgAh07iQDzBcNu9AQAAkAMAAA4AAAAAAAAAAQAgAAAAIAEAAGRycy9lMm9Eb2MueG1sUEsFBgAA&#10;AAAGAAYAWQEAAE8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551602"/>
    <w:multiLevelType w:val="singleLevel"/>
    <w:tmpl w:val="53551602"/>
    <w:lvl w:ilvl="0" w:tentative="0">
      <w:start w:val="3"/>
      <w:numFmt w:val="chineseCounting"/>
      <w:suff w:val="nothing"/>
      <w:lvlText w:val="%1、"/>
      <w:lvlJc w:val="left"/>
      <w:rPr>
        <w:rFonts w:hint="eastAsia"/>
      </w:rPr>
    </w:lvl>
  </w:abstractNum>
  <w:abstractNum w:abstractNumId="1">
    <w:nsid w:val="67B4397F"/>
    <w:multiLevelType w:val="singleLevel"/>
    <w:tmpl w:val="67B4397F"/>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RlNzZiNjE1N2NiNDY1MjdjNTllOWUxMWU4Y2ZiZGQifQ=="/>
  </w:docVars>
  <w:rsids>
    <w:rsidRoot w:val="003E746A"/>
    <w:rsid w:val="0000160D"/>
    <w:rsid w:val="0003757E"/>
    <w:rsid w:val="000A0761"/>
    <w:rsid w:val="002A0C62"/>
    <w:rsid w:val="003B2130"/>
    <w:rsid w:val="003E746A"/>
    <w:rsid w:val="00441F37"/>
    <w:rsid w:val="005843F6"/>
    <w:rsid w:val="005B603B"/>
    <w:rsid w:val="005E1C5A"/>
    <w:rsid w:val="00677CA2"/>
    <w:rsid w:val="00724121"/>
    <w:rsid w:val="00775394"/>
    <w:rsid w:val="007F17B5"/>
    <w:rsid w:val="00805947"/>
    <w:rsid w:val="0082491A"/>
    <w:rsid w:val="00830945"/>
    <w:rsid w:val="008368CF"/>
    <w:rsid w:val="008D777B"/>
    <w:rsid w:val="008F6746"/>
    <w:rsid w:val="009278D1"/>
    <w:rsid w:val="00950902"/>
    <w:rsid w:val="009C3229"/>
    <w:rsid w:val="00B662ED"/>
    <w:rsid w:val="00B7053D"/>
    <w:rsid w:val="00C278CC"/>
    <w:rsid w:val="00C771A8"/>
    <w:rsid w:val="00CE4782"/>
    <w:rsid w:val="00CF05B5"/>
    <w:rsid w:val="00D2760A"/>
    <w:rsid w:val="00E41ADB"/>
    <w:rsid w:val="00E852DA"/>
    <w:rsid w:val="00FF177E"/>
    <w:rsid w:val="031B55B3"/>
    <w:rsid w:val="07103EF7"/>
    <w:rsid w:val="08CC22B7"/>
    <w:rsid w:val="0D954BE8"/>
    <w:rsid w:val="0E597E90"/>
    <w:rsid w:val="0E782A66"/>
    <w:rsid w:val="0F6F4385"/>
    <w:rsid w:val="10A02159"/>
    <w:rsid w:val="1235476B"/>
    <w:rsid w:val="13C42198"/>
    <w:rsid w:val="14AE30D9"/>
    <w:rsid w:val="15C3312C"/>
    <w:rsid w:val="1CA722DB"/>
    <w:rsid w:val="1E95634A"/>
    <w:rsid w:val="1F5C7718"/>
    <w:rsid w:val="203938D2"/>
    <w:rsid w:val="23FF3B57"/>
    <w:rsid w:val="2A085E7C"/>
    <w:rsid w:val="2D08798C"/>
    <w:rsid w:val="2DC15E45"/>
    <w:rsid w:val="2FD51B22"/>
    <w:rsid w:val="31C8341C"/>
    <w:rsid w:val="37714984"/>
    <w:rsid w:val="3A394FD8"/>
    <w:rsid w:val="483B0E27"/>
    <w:rsid w:val="493778DE"/>
    <w:rsid w:val="4CF5B425"/>
    <w:rsid w:val="4EBA2C04"/>
    <w:rsid w:val="501954ED"/>
    <w:rsid w:val="54653A5E"/>
    <w:rsid w:val="56650E2A"/>
    <w:rsid w:val="5C0678E3"/>
    <w:rsid w:val="65E75217"/>
    <w:rsid w:val="69E03F15"/>
    <w:rsid w:val="6ADFB210"/>
    <w:rsid w:val="6C8F7517"/>
    <w:rsid w:val="75E50979"/>
    <w:rsid w:val="76B81187"/>
    <w:rsid w:val="76BF5FEE"/>
    <w:rsid w:val="787E7C64"/>
    <w:rsid w:val="7B6E21D2"/>
    <w:rsid w:val="7BFBA317"/>
    <w:rsid w:val="7BFE0E71"/>
    <w:rsid w:val="7D7F7A0B"/>
    <w:rsid w:val="7E7D3992"/>
    <w:rsid w:val="9FBDC09D"/>
    <w:rsid w:val="AC6FCE0C"/>
    <w:rsid w:val="BFE0F947"/>
    <w:rsid w:val="CBFDA174"/>
    <w:rsid w:val="EFFFF7F1"/>
    <w:rsid w:val="F73FA6E0"/>
    <w:rsid w:val="FEEFF000"/>
    <w:rsid w:val="FF4D47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99"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paragraph" w:styleId="3">
    <w:name w:val="heading 1"/>
    <w:basedOn w:val="1"/>
    <w:next w:val="1"/>
    <w:qFormat/>
    <w:uiPriority w:val="0"/>
    <w:pPr>
      <w:keepNext/>
      <w:keepLines/>
      <w:spacing w:line="576" w:lineRule="auto"/>
      <w:outlineLvl w:val="0"/>
    </w:pPr>
    <w:rPr>
      <w:b/>
      <w:kern w:val="44"/>
      <w:sz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rPr>
      <w:rFonts w:ascii="仿宋_GB2312" w:eastAsia="仿宋_GB2312"/>
      <w:sz w:val="32"/>
    </w:rPr>
  </w:style>
  <w:style w:type="paragraph" w:styleId="4">
    <w:name w:val="annotation text"/>
    <w:basedOn w:val="1"/>
    <w:link w:val="19"/>
    <w:qFormat/>
    <w:uiPriority w:val="0"/>
    <w:pPr>
      <w:jc w:val="left"/>
    </w:p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link w:val="15"/>
    <w:qFormat/>
    <w:uiPriority w:val="0"/>
    <w:pPr>
      <w:tabs>
        <w:tab w:val="center" w:pos="4153"/>
        <w:tab w:val="right" w:pos="8306"/>
      </w:tabs>
      <w:snapToGrid w:val="0"/>
      <w:jc w:val="center"/>
    </w:pPr>
    <w:rPr>
      <w:sz w:val="18"/>
      <w:szCs w:val="18"/>
    </w:rPr>
  </w:style>
  <w:style w:type="paragraph" w:styleId="7">
    <w:name w:val="Normal (Web)"/>
    <w:basedOn w:val="1"/>
    <w:qFormat/>
    <w:uiPriority w:val="0"/>
    <w:pPr>
      <w:spacing w:line="336" w:lineRule="auto"/>
      <w:jc w:val="left"/>
    </w:pPr>
    <w:rPr>
      <w:rFonts w:ascii="宋体" w:hAnsi="宋体"/>
      <w:kern w:val="0"/>
      <w:sz w:val="24"/>
    </w:rPr>
  </w:style>
  <w:style w:type="paragraph" w:styleId="8">
    <w:name w:val="annotation subject"/>
    <w:basedOn w:val="4"/>
    <w:next w:val="4"/>
    <w:link w:val="20"/>
    <w:qFormat/>
    <w:uiPriority w:val="0"/>
    <w:rPr>
      <w:b/>
      <w:bCs/>
    </w:rPr>
  </w:style>
  <w:style w:type="table" w:styleId="10">
    <w:name w:val="Table Grid"/>
    <w:basedOn w:val="9"/>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qFormat/>
    <w:uiPriority w:val="0"/>
    <w:rPr>
      <w:sz w:val="21"/>
      <w:szCs w:val="21"/>
    </w:rPr>
  </w:style>
  <w:style w:type="paragraph" w:customStyle="1" w:styleId="13">
    <w:name w:val="Fließtext"/>
    <w:basedOn w:val="1"/>
    <w:qFormat/>
    <w:uiPriority w:val="0"/>
    <w:pPr>
      <w:overflowPunct w:val="0"/>
      <w:autoSpaceDE w:val="0"/>
      <w:autoSpaceDN w:val="0"/>
      <w:adjustRightInd w:val="0"/>
      <w:textAlignment w:val="baseline"/>
    </w:pPr>
    <w:rPr>
      <w:rFonts w:eastAsia="仿宋_GB2312"/>
      <w:kern w:val="28"/>
      <w:sz w:val="24"/>
      <w:szCs w:val="20"/>
    </w:rPr>
  </w:style>
  <w:style w:type="paragraph" w:customStyle="1" w:styleId="14">
    <w:name w:val="p0"/>
    <w:basedOn w:val="1"/>
    <w:qFormat/>
    <w:uiPriority w:val="0"/>
    <w:pPr>
      <w:widowControl/>
      <w:spacing w:before="100" w:beforeAutospacing="1" w:after="100" w:afterAutospacing="1"/>
      <w:jc w:val="left"/>
    </w:pPr>
    <w:rPr>
      <w:rFonts w:ascii="宋体" w:hAnsi="宋体" w:cs="宋体"/>
      <w:kern w:val="0"/>
      <w:sz w:val="24"/>
    </w:rPr>
  </w:style>
  <w:style w:type="character" w:customStyle="1" w:styleId="15">
    <w:name w:val="页眉 字符"/>
    <w:basedOn w:val="11"/>
    <w:link w:val="6"/>
    <w:qFormat/>
    <w:uiPriority w:val="0"/>
    <w:rPr>
      <w:rFonts w:ascii="Calibri" w:hAnsi="Calibri" w:eastAsia="宋体" w:cs="黑体"/>
      <w:kern w:val="2"/>
      <w:sz w:val="18"/>
      <w:szCs w:val="18"/>
    </w:rPr>
  </w:style>
  <w:style w:type="paragraph" w:customStyle="1" w:styleId="16">
    <w:name w:val="修订1"/>
    <w:hidden/>
    <w:unhideWhenUsed/>
    <w:qFormat/>
    <w:uiPriority w:val="99"/>
    <w:rPr>
      <w:rFonts w:ascii="Calibri" w:hAnsi="Calibri" w:eastAsia="宋体" w:cs="黑体"/>
      <w:kern w:val="2"/>
      <w:sz w:val="21"/>
      <w:szCs w:val="24"/>
      <w:lang w:val="en-US" w:eastAsia="zh-CN" w:bidi="ar-SA"/>
    </w:rPr>
  </w:style>
  <w:style w:type="character" w:customStyle="1" w:styleId="17">
    <w:name w:val="列表段落 字符"/>
    <w:link w:val="18"/>
    <w:qFormat/>
    <w:uiPriority w:val="34"/>
    <w:rPr>
      <w:kern w:val="2"/>
      <w:sz w:val="21"/>
      <w:szCs w:val="24"/>
    </w:rPr>
  </w:style>
  <w:style w:type="paragraph" w:styleId="18">
    <w:name w:val="List Paragraph"/>
    <w:basedOn w:val="1"/>
    <w:link w:val="17"/>
    <w:qFormat/>
    <w:uiPriority w:val="34"/>
    <w:pPr>
      <w:ind w:firstLine="420" w:firstLineChars="200"/>
    </w:pPr>
    <w:rPr>
      <w:rFonts w:asciiTheme="minorHAnsi" w:hAnsiTheme="minorHAnsi" w:eastAsiaTheme="minorEastAsia" w:cstheme="minorBidi"/>
    </w:rPr>
  </w:style>
  <w:style w:type="character" w:customStyle="1" w:styleId="19">
    <w:name w:val="批注文字 字符"/>
    <w:basedOn w:val="11"/>
    <w:link w:val="4"/>
    <w:qFormat/>
    <w:uiPriority w:val="0"/>
    <w:rPr>
      <w:rFonts w:ascii="Calibri" w:hAnsi="Calibri" w:eastAsia="宋体" w:cs="黑体"/>
      <w:kern w:val="2"/>
      <w:sz w:val="21"/>
      <w:szCs w:val="24"/>
    </w:rPr>
  </w:style>
  <w:style w:type="character" w:customStyle="1" w:styleId="20">
    <w:name w:val="批注主题 字符"/>
    <w:basedOn w:val="19"/>
    <w:link w:val="8"/>
    <w:qFormat/>
    <w:uiPriority w:val="0"/>
    <w:rPr>
      <w:rFonts w:ascii="Calibri" w:hAnsi="Calibri" w:eastAsia="宋体" w:cs="黑体"/>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3028</Words>
  <Characters>3287</Characters>
  <Lines>21</Lines>
  <Paragraphs>5</Paragraphs>
  <TotalTime>39</TotalTime>
  <ScaleCrop>false</ScaleCrop>
  <LinksUpToDate>false</LinksUpToDate>
  <CharactersWithSpaces>3418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2025-06-30T04:25:00Z</dcterms:created>
  <dc:creator>帅如狗</dc:creator>
  <cp:lastModifiedBy>蓝风</cp:lastModifiedBy>
  <cp:lastPrinted>2025-05-28T00:46:00Z</cp:lastPrinted>
  <dcterms:modified xsi:type="dcterms:W3CDTF">2025-12-08T00:27:27Z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KSOTemplateDocerSaveRecord">
    <vt:lpwstr>eyJoZGlkIjoiYzgzZDI1NjU2ODJlZTNjYmU1MWMwN2NlODQwMTliNmYiLCJ1c2VySWQiOiI1MDcxNTMxNzIifQ==</vt:lpwstr>
  </property>
  <property fmtid="{D5CDD505-2E9C-101B-9397-08002B2CF9AE}" pid="4" name="ICV">
    <vt:lpwstr>1BDDD49644714477B7C58CFBA9EEC28F_13</vt:lpwstr>
  </property>
</Properties>
</file>