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0738A">
      <w:pPr>
        <w:pStyle w:val="18"/>
        <w:spacing w:before="75" w:beforeAutospacing="0" w:after="75" w:afterAutospacing="0"/>
        <w:jc w:val="center"/>
        <w:rPr>
          <w:rFonts w:hint="eastAsia" w:cs="宋体" w:asciiTheme="minorEastAsia" w:hAnsiTheme="minorEastAsia" w:eastAsiaTheme="minorEastAsia"/>
          <w:b/>
          <w:bCs/>
          <w:sz w:val="32"/>
          <w:szCs w:val="32"/>
        </w:rPr>
      </w:pPr>
    </w:p>
    <w:p w14:paraId="3B9D53B1">
      <w:pPr>
        <w:adjustRightInd/>
        <w:snapToGrid/>
        <w:spacing w:after="0" w:line="480" w:lineRule="atLeast"/>
        <w:jc w:val="center"/>
        <w:rPr>
          <w:rFonts w:hint="eastAsia" w:cs="宋体" w:asciiTheme="minorEastAsia" w:hAnsiTheme="minorEastAsia" w:eastAsiaTheme="minorEastAsia"/>
          <w:b/>
          <w:bCs/>
          <w:color w:val="404040"/>
          <w:sz w:val="32"/>
          <w:szCs w:val="32"/>
        </w:rPr>
      </w:pPr>
      <w:bookmarkStart w:id="0" w:name="_Hlk181695900"/>
      <w:bookmarkStart w:id="1" w:name="_Hlk181628789"/>
      <w:r>
        <w:rPr>
          <w:rFonts w:cs="宋体" w:asciiTheme="minorEastAsia" w:hAnsiTheme="minorEastAsia" w:eastAsiaTheme="minorEastAsia"/>
          <w:b/>
          <w:bCs/>
          <w:color w:val="404040"/>
          <w:sz w:val="32"/>
          <w:szCs w:val="32"/>
        </w:rPr>
        <w:t>福建省肿瘤医院</w:t>
      </w:r>
      <w:r>
        <w:rPr>
          <w:rFonts w:hint="eastAsia" w:cs="宋体" w:asciiTheme="minorEastAsia" w:hAnsiTheme="minorEastAsia" w:eastAsiaTheme="minorEastAsia"/>
          <w:b/>
          <w:bCs/>
          <w:color w:val="404040"/>
          <w:sz w:val="32"/>
          <w:szCs w:val="32"/>
        </w:rPr>
        <w:t>护理护工服务遴选</w:t>
      </w:r>
    </w:p>
    <w:bookmarkEnd w:id="0"/>
    <w:p w14:paraId="1DA08FFC">
      <w:pPr>
        <w:adjustRightInd/>
        <w:snapToGrid/>
        <w:spacing w:after="0" w:line="480" w:lineRule="atLeast"/>
        <w:jc w:val="center"/>
        <w:rPr>
          <w:rFonts w:hint="eastAsia" w:cs="宋体" w:asciiTheme="minorEastAsia" w:hAnsiTheme="minorEastAsia" w:eastAsiaTheme="minorEastAsia"/>
          <w:b/>
          <w:bCs/>
          <w:color w:val="404040"/>
          <w:sz w:val="32"/>
          <w:szCs w:val="32"/>
        </w:rPr>
      </w:pPr>
      <w:r>
        <w:rPr>
          <w:rFonts w:hint="eastAsia" w:cs="宋体" w:asciiTheme="minorEastAsia" w:hAnsiTheme="minorEastAsia" w:eastAsiaTheme="minorEastAsia"/>
          <w:b/>
          <w:bCs/>
          <w:color w:val="404040"/>
          <w:sz w:val="32"/>
          <w:szCs w:val="32"/>
        </w:rPr>
        <w:t>项目</w:t>
      </w:r>
      <w:bookmarkEnd w:id="1"/>
      <w:r>
        <w:rPr>
          <w:rFonts w:hint="eastAsia" w:cs="宋体" w:asciiTheme="minorEastAsia" w:hAnsiTheme="minorEastAsia" w:eastAsiaTheme="minorEastAsia"/>
          <w:b/>
          <w:bCs/>
          <w:color w:val="404040"/>
          <w:sz w:val="32"/>
          <w:szCs w:val="32"/>
        </w:rPr>
        <w:t>招标公告</w:t>
      </w:r>
    </w:p>
    <w:p w14:paraId="33C0727E">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一、招标项目概况和范围</w:t>
      </w:r>
    </w:p>
    <w:p w14:paraId="78F50B3C">
      <w:pPr>
        <w:pStyle w:val="36"/>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项目名称：福建省肿瘤医院护理护工服务遴选项目</w:t>
      </w:r>
    </w:p>
    <w:p w14:paraId="6BBCF73A">
      <w:pPr>
        <w:pStyle w:val="36"/>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项目地点：福马路420号。</w:t>
      </w:r>
    </w:p>
    <w:p w14:paraId="4B6564C8">
      <w:pPr>
        <w:pStyle w:val="36"/>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招标范围和内容：见附件。</w:t>
      </w:r>
    </w:p>
    <w:p w14:paraId="7C21C0A3">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二、投标人资格要求及审查办法</w:t>
      </w:r>
    </w:p>
    <w:p w14:paraId="35E81E95">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满足《中华人民共和国政府采购法》第二十二条规定。</w:t>
      </w:r>
    </w:p>
    <w:p w14:paraId="24EA0D3A">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落实政府采购政策需满足的资格要求。</w:t>
      </w:r>
    </w:p>
    <w:p w14:paraId="420A2E68">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委托代表人资格证明书（附法人及委托人身份证）。</w:t>
      </w:r>
    </w:p>
    <w:p w14:paraId="20A993BD">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投标人须具有有效的《劳务派遣经营许可证》</w:t>
      </w:r>
      <w:r>
        <w:rPr>
          <w:rFonts w:hint="eastAsia" w:cs="宋体" w:asciiTheme="minorEastAsia" w:hAnsiTheme="minorEastAsia" w:eastAsiaTheme="minorEastAsia"/>
          <w:color w:val="FF0000"/>
          <w:sz w:val="26"/>
          <w:szCs w:val="26"/>
          <w:lang w:eastAsia="zh-CN"/>
        </w:rPr>
        <w:t>。</w:t>
      </w:r>
    </w:p>
    <w:p w14:paraId="673E7AD2">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财务状况报告（最近一个年度经审计的财务报告或资信证明或投标担保函）</w:t>
      </w:r>
      <w:r>
        <w:rPr>
          <w:rFonts w:hint="eastAsia" w:cs="宋体" w:asciiTheme="minorEastAsia" w:hAnsiTheme="minorEastAsia" w:eastAsiaTheme="minorEastAsia"/>
          <w:color w:val="FF0000"/>
          <w:sz w:val="26"/>
          <w:szCs w:val="26"/>
          <w:lang w:eastAsia="zh-CN"/>
        </w:rPr>
        <w:t>。</w:t>
      </w:r>
    </w:p>
    <w:p w14:paraId="5AED2D32">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参加本次活动前三年内，在经营活动中没有重大违法违规记录的承诺。</w:t>
      </w:r>
    </w:p>
    <w:p w14:paraId="6A970FD7">
      <w:pPr>
        <w:numPr>
          <w:ilvl w:val="0"/>
          <w:numId w:val="2"/>
        </w:numPr>
        <w:adjustRightInd/>
        <w:snapToGrid/>
        <w:spacing w:before="150" w:after="0" w:line="480" w:lineRule="atLeast"/>
        <w:jc w:val="both"/>
        <w:rPr>
          <w:rFonts w:hint="eastAsia" w:asciiTheme="minorEastAsia" w:hAnsiTheme="minorEastAsia" w:eastAsiaTheme="minorEastAsia"/>
        </w:rPr>
      </w:pPr>
      <w:r>
        <w:rPr>
          <w:rFonts w:hint="eastAsia" w:cs="宋体" w:asciiTheme="minorEastAsia" w:hAnsiTheme="minorEastAsia" w:eastAsiaTheme="minorEastAsia"/>
          <w:color w:val="404040"/>
          <w:sz w:val="26"/>
          <w:szCs w:val="26"/>
        </w:rPr>
        <w:t>具备履行合同所必需设备和专业技术能力的声明函</w:t>
      </w:r>
      <w:r>
        <w:rPr>
          <w:rFonts w:hint="eastAsia" w:cs="宋体" w:asciiTheme="minorEastAsia" w:hAnsiTheme="minorEastAsia" w:eastAsiaTheme="minorEastAsia"/>
          <w:color w:val="FF0000"/>
          <w:sz w:val="26"/>
          <w:szCs w:val="26"/>
          <w:lang w:eastAsia="zh-CN"/>
        </w:rPr>
        <w:t>。</w:t>
      </w:r>
    </w:p>
    <w:p w14:paraId="57EBACF5">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资格审查采用方式：资格后审。</w:t>
      </w:r>
    </w:p>
    <w:p w14:paraId="07570C06">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本招标项目不接受联合体投标，不接受备选投标方案，不允许分包。</w:t>
      </w:r>
    </w:p>
    <w:p w14:paraId="3174ED90">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投标人应通过“信用中国（</w:t>
      </w:r>
      <w:r>
        <w:fldChar w:fldCharType="begin"/>
      </w:r>
      <w:r>
        <w:instrText xml:space="preserve"> HYPERLINK "http://www.creditchina.gov.cn/" </w:instrText>
      </w:r>
      <w:r>
        <w:fldChar w:fldCharType="separate"/>
      </w:r>
      <w:r>
        <w:rPr>
          <w:rStyle w:val="22"/>
          <w:rFonts w:hint="eastAsia" w:cs="宋体" w:asciiTheme="minorEastAsia" w:hAnsiTheme="minorEastAsia" w:eastAsiaTheme="minorEastAsia"/>
          <w:sz w:val="26"/>
          <w:szCs w:val="26"/>
        </w:rPr>
        <w:t>www.creditchina.gov.cn</w:t>
      </w:r>
      <w:r>
        <w:rPr>
          <w:rStyle w:val="22"/>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)”、“中国政府采购网(</w:t>
      </w:r>
      <w:r>
        <w:fldChar w:fldCharType="begin"/>
      </w:r>
      <w:r>
        <w:instrText xml:space="preserve"> HYPERLINK "http://www.ccgp.gov.cn" </w:instrText>
      </w:r>
      <w:r>
        <w:fldChar w:fldCharType="separate"/>
      </w:r>
      <w:r>
        <w:rPr>
          <w:rStyle w:val="22"/>
          <w:rFonts w:hint="eastAsia" w:cs="宋体" w:asciiTheme="minorEastAsia" w:hAnsiTheme="minorEastAsia" w:eastAsiaTheme="minorEastAsia"/>
          <w:sz w:val="26"/>
          <w:szCs w:val="26"/>
        </w:rPr>
        <w:t>www.ccgp.gov.cn</w:t>
      </w:r>
      <w:r>
        <w:rPr>
          <w:rStyle w:val="22"/>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)”查询并打印相应的信用记录。</w:t>
      </w:r>
    </w:p>
    <w:p w14:paraId="6DCA8DAB">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0EA9C998">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上述提供材料均须加盖公章。</w:t>
      </w:r>
    </w:p>
    <w:p w14:paraId="6F81DF73">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22A7720F">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三、招标文件的获取</w:t>
      </w:r>
    </w:p>
    <w:p w14:paraId="0CCF78E0">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1、本招标项目不采用电子招投标。</w:t>
      </w:r>
    </w:p>
    <w:p w14:paraId="0E5CF189">
      <w:p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2、凡有意参加投标者，均可在福建省肿瘤医院官网（</w:t>
      </w:r>
      <w:r>
        <w:rPr>
          <w:rFonts w:cs="宋体" w:asciiTheme="minorEastAsia" w:hAnsiTheme="minorEastAsia" w:eastAsiaTheme="minorEastAsia"/>
          <w:color w:val="404040"/>
          <w:sz w:val="26"/>
          <w:szCs w:val="26"/>
        </w:rPr>
        <w:t>https://www.fjzl.com.cn</w:t>
      </w:r>
      <w:r>
        <w:rPr>
          <w:rFonts w:hint="eastAsia" w:cs="宋体" w:asciiTheme="minorEastAsia" w:hAnsiTheme="minorEastAsia" w:eastAsiaTheme="minorEastAsia"/>
          <w:color w:val="404040"/>
          <w:sz w:val="26"/>
          <w:szCs w:val="26"/>
        </w:rPr>
        <w:t>）下载与本项目相关的招标信息（包括招标文件、招标文件补充说明等），并于202</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12</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12</w:t>
      </w:r>
      <w:r>
        <w:rPr>
          <w:rFonts w:hint="eastAsia" w:cs="宋体" w:asciiTheme="minorEastAsia" w:hAnsiTheme="minorEastAsia" w:eastAsiaTheme="minorEastAsia"/>
          <w:color w:val="404040"/>
          <w:sz w:val="26"/>
          <w:szCs w:val="26"/>
        </w:rPr>
        <w:t>日至202</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12</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 xml:space="preserve"> 18</w:t>
      </w:r>
      <w:r>
        <w:rPr>
          <w:rFonts w:hint="eastAsia" w:cs="宋体" w:asciiTheme="minorEastAsia" w:hAnsiTheme="minorEastAsia" w:eastAsiaTheme="minorEastAsia"/>
          <w:color w:val="404040"/>
          <w:sz w:val="26"/>
          <w:szCs w:val="26"/>
        </w:rPr>
        <w:t>日(节假日除外)8：00-12：00或14：</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0-17：</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0，携带加盖公章的营业执照复印件、介绍信前往福建省肿瘤医院总务科报名。</w:t>
      </w:r>
    </w:p>
    <w:p w14:paraId="1EAAC52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项目联系人：陈女士      联系电话：0591-62752801</w:t>
      </w:r>
    </w:p>
    <w:p w14:paraId="185B0FD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四、答疑截止时间</w:t>
      </w:r>
    </w:p>
    <w:p w14:paraId="787C53D2">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投标人若要求澄清招标文件，应在获取招标文件截止时间后的2个工作日内提出，招标人将随时解答。</w:t>
      </w:r>
    </w:p>
    <w:p w14:paraId="54A88484">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五、投标文件的要求及递交</w:t>
      </w:r>
    </w:p>
    <w:p w14:paraId="5FF0A513">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1、投标文件正本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w:t>
      </w:r>
      <w:r>
        <w:rPr>
          <w:rFonts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rPr>
        <w:t>副本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份胶装并密封加盖投标人公章。投标文件未胶装密封将导致其投标文件被拒绝。</w:t>
      </w:r>
    </w:p>
    <w:p w14:paraId="2DF9C409">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2、投标文件递交的截止时间：202</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12</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19</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09</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0，提交地点为福建省肿瘤医院总务科，未送达指定地点或逾期送达者拒收。</w:t>
      </w:r>
    </w:p>
    <w:p w14:paraId="61E269F4">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六、开标评标时间地点</w:t>
      </w:r>
    </w:p>
    <w:p w14:paraId="4607A9EE">
      <w:pPr>
        <w:adjustRightInd/>
        <w:snapToGrid/>
        <w:spacing w:before="150" w:after="0" w:line="480" w:lineRule="atLeast"/>
        <w:ind w:firstLine="390" w:firstLineChars="15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1、开标时间：202</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12</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19</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09</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0时</w:t>
      </w:r>
      <w:bookmarkStart w:id="36" w:name="_GoBack"/>
      <w:bookmarkEnd w:id="36"/>
    </w:p>
    <w:p w14:paraId="2F0EE5B4">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2、评标时间：开标后即开始评标。</w:t>
      </w:r>
    </w:p>
    <w:p w14:paraId="698F06DA">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3、地点：福建省肿瘤医院科研楼一楼总务科</w:t>
      </w:r>
    </w:p>
    <w:p w14:paraId="2F06B895">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w:t>
      </w:r>
    </w:p>
    <w:p w14:paraId="2FE3E85F">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1.未参加报名的潜在投标人，其投标文件将被拒绝。</w:t>
      </w:r>
    </w:p>
    <w:p w14:paraId="55565FD9">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2.若有涉及招标文件内容更正，请各潜在投标人密切关注福建省肿瘤医院官网通知，以最新公告为准。</w:t>
      </w:r>
    </w:p>
    <w:p w14:paraId="6DA7F1C7">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八、评标原则及办法</w:t>
      </w:r>
    </w:p>
    <w:p w14:paraId="5EF35959">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1、评标活动遵循公平、公正、科学和择优的原则。</w:t>
      </w:r>
    </w:p>
    <w:p w14:paraId="38B7A77D">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2、评标方法：</w:t>
      </w:r>
      <w:r>
        <w:rPr>
          <w:rFonts w:hint="eastAsia" w:cs="宋体" w:asciiTheme="minorEastAsia" w:hAnsiTheme="minorEastAsia" w:eastAsiaTheme="minorEastAsia"/>
          <w:color w:val="404040"/>
          <w:sz w:val="26"/>
          <w:szCs w:val="26"/>
          <w:highlight w:val="none"/>
        </w:rPr>
        <w:t>综合评分。</w:t>
      </w:r>
    </w:p>
    <w:p w14:paraId="78A13F6C">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3、投标人之间有相互串通投标、弄虚作假等违规行为者，将作废标处理，并在我院未来的项目招标中被拒绝接受投标。</w:t>
      </w:r>
    </w:p>
    <w:p w14:paraId="5D0B0A58">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九、合同条款内容及签订</w:t>
      </w:r>
    </w:p>
    <w:p w14:paraId="0B98B268">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1、合同专用条款内容依照国家规范文本，合同通用条款内容解释依照国家规</w:t>
      </w:r>
      <w:r>
        <w:rPr>
          <w:rFonts w:hint="eastAsia" w:cs="宋体" w:asciiTheme="minorEastAsia" w:hAnsiTheme="minorEastAsia" w:eastAsiaTheme="minorEastAsia"/>
          <w:color w:val="404040"/>
          <w:sz w:val="28"/>
          <w:szCs w:val="28"/>
        </w:rPr>
        <w:t>范文本。</w:t>
      </w:r>
    </w:p>
    <w:p w14:paraId="7C00EA7D">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2、合同签订：中标人在接到中标通知后3天内，应派代表与招标人联系，商讨签订合同事宜。</w:t>
      </w:r>
    </w:p>
    <w:p w14:paraId="15C5C40A">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十、其他未详尽事宜</w:t>
      </w:r>
    </w:p>
    <w:p w14:paraId="5EFE714C">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依照国家政府采购和招投标有关规定。</w:t>
      </w:r>
    </w:p>
    <w:p w14:paraId="624D5D41">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十一、监督电话</w:t>
      </w:r>
    </w:p>
    <w:p w14:paraId="4CFF6EFD">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在采购报名、采购调研等采购过程中有任何异议，可联系我院监督科室。电话：83660063-8407；83660063-8467。</w:t>
      </w:r>
    </w:p>
    <w:p w14:paraId="7E51BAB8">
      <w:pPr>
        <w:pStyle w:val="16"/>
        <w:rPr>
          <w:rFonts w:hint="eastAsia" w:cs="仿宋_GB2312" w:asciiTheme="minorEastAsia" w:hAnsiTheme="minorEastAsia" w:eastAsiaTheme="minorEastAsia"/>
          <w:b/>
          <w:sz w:val="24"/>
          <w:szCs w:val="24"/>
        </w:rPr>
      </w:pPr>
    </w:p>
    <w:p w14:paraId="20752ABE">
      <w:pPr>
        <w:adjustRightInd/>
        <w:snapToGrid/>
        <w:spacing w:after="0"/>
        <w:rPr>
          <w:rFonts w:hint="eastAsia" w:cs="仿宋_GB2312" w:asciiTheme="minorEastAsia" w:hAnsiTheme="minorEastAsia" w:eastAsiaTheme="minorEastAsia"/>
          <w:b/>
          <w:sz w:val="24"/>
          <w:szCs w:val="24"/>
        </w:rPr>
      </w:pPr>
      <w:r>
        <w:rPr>
          <w:rFonts w:cs="仿宋_GB2312" w:asciiTheme="minorEastAsia" w:hAnsiTheme="minorEastAsia" w:eastAsiaTheme="minorEastAsia"/>
          <w:b/>
          <w:sz w:val="24"/>
          <w:szCs w:val="24"/>
        </w:rPr>
        <w:br w:type="page"/>
      </w:r>
    </w:p>
    <w:p w14:paraId="49F58547">
      <w:pPr>
        <w:widowControl w:val="0"/>
        <w:adjustRightInd/>
        <w:snapToGrid/>
        <w:spacing w:after="0" w:line="59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报价内容一览</w:t>
      </w:r>
    </w:p>
    <w:tbl>
      <w:tblPr>
        <w:tblStyle w:val="20"/>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1436"/>
        <w:gridCol w:w="1500"/>
      </w:tblGrid>
      <w:tr w14:paraId="5149B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6B06CEDB">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项目名称</w:t>
            </w:r>
          </w:p>
        </w:tc>
        <w:tc>
          <w:tcPr>
            <w:tcW w:w="1438" w:type="dxa"/>
            <w:shd w:val="clear" w:color="FFFFFF" w:fill="auto"/>
            <w:vAlign w:val="center"/>
          </w:tcPr>
          <w:p w14:paraId="7F3A8E2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招标方式</w:t>
            </w:r>
          </w:p>
        </w:tc>
        <w:tc>
          <w:tcPr>
            <w:tcW w:w="1082" w:type="dxa"/>
            <w:shd w:val="clear" w:color="FFFFFF" w:fill="auto"/>
            <w:vAlign w:val="center"/>
          </w:tcPr>
          <w:p w14:paraId="046BA1D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控制价</w:t>
            </w:r>
          </w:p>
        </w:tc>
        <w:tc>
          <w:tcPr>
            <w:tcW w:w="1436" w:type="dxa"/>
            <w:shd w:val="clear" w:color="FFFFFF" w:fill="auto"/>
            <w:vAlign w:val="center"/>
          </w:tcPr>
          <w:p w14:paraId="302BA55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数量</w:t>
            </w:r>
          </w:p>
        </w:tc>
        <w:tc>
          <w:tcPr>
            <w:tcW w:w="1500" w:type="dxa"/>
            <w:shd w:val="clear" w:color="FFFFFF" w:fill="auto"/>
            <w:vAlign w:val="center"/>
          </w:tcPr>
          <w:p w14:paraId="1571FED4">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要求</w:t>
            </w:r>
          </w:p>
        </w:tc>
      </w:tr>
      <w:tr w14:paraId="175AD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14B63E1B">
            <w:pPr>
              <w:spacing w:line="340" w:lineRule="exact"/>
              <w:jc w:val="center"/>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福建省肿瘤医院护理护工服务遴选</w:t>
            </w:r>
            <w:r>
              <w:rPr>
                <w:rFonts w:cs="宋体" w:asciiTheme="minorEastAsia" w:hAnsiTheme="minorEastAsia" w:eastAsiaTheme="minorEastAsia"/>
                <w:color w:val="404040"/>
                <w:sz w:val="26"/>
                <w:szCs w:val="26"/>
              </w:rPr>
              <w:t>项目</w:t>
            </w:r>
          </w:p>
        </w:tc>
        <w:tc>
          <w:tcPr>
            <w:tcW w:w="1438" w:type="dxa"/>
            <w:vAlign w:val="center"/>
          </w:tcPr>
          <w:p w14:paraId="2E793FBE">
            <w:pPr>
              <w:spacing w:line="340" w:lineRule="exact"/>
              <w:jc w:val="center"/>
              <w:rPr>
                <w:rFonts w:hint="eastAsia" w:cs="宋体" w:asciiTheme="minorEastAsia" w:hAnsiTheme="minorEastAsia" w:eastAsiaTheme="minorEastAsia"/>
                <w:i/>
                <w:iCs/>
                <w:color w:val="404040"/>
                <w:sz w:val="26"/>
                <w:szCs w:val="26"/>
              </w:rPr>
            </w:pPr>
            <w:r>
              <w:rPr>
                <w:rFonts w:hint="eastAsia" w:cs="宋体" w:asciiTheme="minorEastAsia" w:hAnsiTheme="minorEastAsia" w:eastAsiaTheme="minorEastAsia"/>
                <w:color w:val="404040"/>
                <w:sz w:val="26"/>
                <w:szCs w:val="26"/>
              </w:rPr>
              <w:t>综合评分</w:t>
            </w:r>
          </w:p>
        </w:tc>
        <w:tc>
          <w:tcPr>
            <w:tcW w:w="1082" w:type="dxa"/>
            <w:vAlign w:val="center"/>
          </w:tcPr>
          <w:p w14:paraId="7C8F1CC2">
            <w:pPr>
              <w:spacing w:line="340" w:lineRule="exact"/>
              <w:jc w:val="center"/>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w:t>
            </w:r>
          </w:p>
        </w:tc>
        <w:tc>
          <w:tcPr>
            <w:tcW w:w="1436" w:type="dxa"/>
            <w:vAlign w:val="center"/>
          </w:tcPr>
          <w:p w14:paraId="194F3C49">
            <w:pPr>
              <w:spacing w:line="340" w:lineRule="exact"/>
              <w:jc w:val="center"/>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w:t>
            </w:r>
          </w:p>
        </w:tc>
        <w:tc>
          <w:tcPr>
            <w:tcW w:w="1500" w:type="dxa"/>
            <w:vAlign w:val="center"/>
          </w:tcPr>
          <w:p w14:paraId="0FC86F19">
            <w:pPr>
              <w:spacing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详见附件</w:t>
            </w:r>
          </w:p>
        </w:tc>
      </w:tr>
    </w:tbl>
    <w:p w14:paraId="13D7C867">
      <w:pPr>
        <w:pStyle w:val="16"/>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备注：</w:t>
      </w:r>
      <w:r>
        <w:rPr>
          <w:rFonts w:hint="eastAsia" w:cs="宋体" w:asciiTheme="minorEastAsia" w:hAnsiTheme="minorEastAsia" w:eastAsiaTheme="minorEastAsia"/>
          <w:color w:val="404040"/>
          <w:sz w:val="26"/>
          <w:szCs w:val="26"/>
        </w:rPr>
        <w:t>1、</w:t>
      </w:r>
      <w:r>
        <w:rPr>
          <w:rFonts w:cs="宋体" w:asciiTheme="minorEastAsia" w:hAnsiTheme="minorEastAsia" w:eastAsiaTheme="minorEastAsia"/>
          <w:color w:val="404040"/>
          <w:sz w:val="26"/>
          <w:szCs w:val="26"/>
        </w:rPr>
        <w:t>如双方对招标内容产生歧义，最终解释权归采购人。</w:t>
      </w:r>
    </w:p>
    <w:p w14:paraId="582FE125">
      <w:pPr>
        <w:pStyle w:val="16"/>
        <w:rPr>
          <w:rFonts w:hint="eastAsia" w:cs="仿宋_GB2312" w:asciiTheme="minorEastAsia" w:hAnsiTheme="minorEastAsia" w:eastAsiaTheme="minorEastAsia"/>
          <w:b/>
          <w:sz w:val="24"/>
          <w:szCs w:val="24"/>
        </w:rPr>
      </w:pPr>
    </w:p>
    <w:p w14:paraId="3FDD3E74">
      <w:pPr>
        <w:adjustRightInd/>
        <w:snapToGrid/>
        <w:spacing w:after="0"/>
        <w:rPr>
          <w:rFonts w:hint="eastAsia" w:cs="仿宋_GB2312" w:asciiTheme="minorEastAsia" w:hAnsiTheme="minorEastAsia" w:eastAsiaTheme="minorEastAsia"/>
          <w:b/>
          <w:sz w:val="24"/>
          <w:szCs w:val="24"/>
        </w:rPr>
      </w:pPr>
    </w:p>
    <w:p w14:paraId="25B1C534">
      <w:pPr>
        <w:pStyle w:val="16"/>
        <w:rPr>
          <w:rFonts w:hint="eastAsia" w:cs="仿宋_GB2312" w:asciiTheme="minorEastAsia" w:hAnsiTheme="minorEastAsia" w:eastAsiaTheme="minorEastAsia"/>
          <w:b/>
          <w:sz w:val="24"/>
          <w:szCs w:val="24"/>
        </w:rPr>
      </w:pPr>
    </w:p>
    <w:p w14:paraId="2FE7264C">
      <w:pPr>
        <w:pStyle w:val="16"/>
        <w:rPr>
          <w:rFonts w:hint="eastAsia" w:cs="仿宋_GB2312" w:asciiTheme="minorEastAsia" w:hAnsiTheme="minorEastAsia" w:eastAsiaTheme="minorEastAsia"/>
          <w:b/>
          <w:sz w:val="24"/>
          <w:szCs w:val="24"/>
        </w:rPr>
      </w:pPr>
    </w:p>
    <w:p w14:paraId="51B4F33F">
      <w:pPr>
        <w:pStyle w:val="16"/>
        <w:rPr>
          <w:rFonts w:hint="eastAsia" w:cs="仿宋_GB2312" w:asciiTheme="minorEastAsia" w:hAnsiTheme="minorEastAsia" w:eastAsiaTheme="minorEastAsia"/>
          <w:b/>
          <w:sz w:val="24"/>
          <w:szCs w:val="24"/>
        </w:rPr>
      </w:pPr>
    </w:p>
    <w:p w14:paraId="25E49639">
      <w:pPr>
        <w:pStyle w:val="16"/>
        <w:rPr>
          <w:rFonts w:hint="eastAsia" w:cs="仿宋_GB2312" w:asciiTheme="minorEastAsia" w:hAnsiTheme="minorEastAsia" w:eastAsiaTheme="minorEastAsia"/>
          <w:b/>
          <w:sz w:val="24"/>
          <w:szCs w:val="24"/>
        </w:rPr>
      </w:pPr>
    </w:p>
    <w:p w14:paraId="4D63D67B">
      <w:pPr>
        <w:pStyle w:val="16"/>
        <w:rPr>
          <w:rFonts w:hint="eastAsia" w:cs="仿宋_GB2312" w:asciiTheme="minorEastAsia" w:hAnsiTheme="minorEastAsia" w:eastAsiaTheme="minorEastAsia"/>
          <w:b/>
          <w:sz w:val="24"/>
          <w:szCs w:val="24"/>
        </w:rPr>
      </w:pPr>
    </w:p>
    <w:p w14:paraId="0A281B5B">
      <w:pPr>
        <w:pStyle w:val="16"/>
        <w:rPr>
          <w:rFonts w:hint="eastAsia" w:cs="仿宋_GB2312" w:asciiTheme="minorEastAsia" w:hAnsiTheme="minorEastAsia" w:eastAsiaTheme="minorEastAsia"/>
          <w:b/>
          <w:sz w:val="24"/>
          <w:szCs w:val="24"/>
        </w:rPr>
      </w:pPr>
    </w:p>
    <w:p w14:paraId="3FAE3066">
      <w:pPr>
        <w:pStyle w:val="16"/>
        <w:rPr>
          <w:rFonts w:hint="eastAsia" w:cs="仿宋_GB2312" w:asciiTheme="minorEastAsia" w:hAnsiTheme="minorEastAsia" w:eastAsiaTheme="minorEastAsia"/>
          <w:b/>
          <w:sz w:val="24"/>
          <w:szCs w:val="24"/>
        </w:rPr>
      </w:pPr>
    </w:p>
    <w:p w14:paraId="188397B1">
      <w:pPr>
        <w:pStyle w:val="16"/>
        <w:rPr>
          <w:rFonts w:hint="eastAsia" w:cs="仿宋_GB2312" w:asciiTheme="minorEastAsia" w:hAnsiTheme="minorEastAsia" w:eastAsiaTheme="minorEastAsia"/>
          <w:b/>
          <w:sz w:val="24"/>
          <w:szCs w:val="24"/>
        </w:rPr>
      </w:pPr>
    </w:p>
    <w:p w14:paraId="0B5F2497">
      <w:pPr>
        <w:pStyle w:val="16"/>
        <w:rPr>
          <w:rFonts w:hint="eastAsia" w:cs="仿宋_GB2312" w:asciiTheme="minorEastAsia" w:hAnsiTheme="minorEastAsia" w:eastAsiaTheme="minorEastAsia"/>
          <w:b/>
          <w:sz w:val="24"/>
          <w:szCs w:val="24"/>
        </w:rPr>
      </w:pPr>
    </w:p>
    <w:p w14:paraId="5C0B6CAD">
      <w:pPr>
        <w:pStyle w:val="16"/>
        <w:rPr>
          <w:rFonts w:hint="eastAsia" w:cs="仿宋_GB2312" w:asciiTheme="minorEastAsia" w:hAnsiTheme="minorEastAsia" w:eastAsiaTheme="minorEastAsia"/>
          <w:b/>
          <w:sz w:val="24"/>
          <w:szCs w:val="24"/>
        </w:rPr>
      </w:pPr>
    </w:p>
    <w:p w14:paraId="0A2F7A80">
      <w:pPr>
        <w:adjustRightInd/>
        <w:snapToGrid/>
        <w:spacing w:after="0"/>
        <w:rPr>
          <w:rFonts w:hint="eastAsia"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br w:type="page"/>
      </w:r>
    </w:p>
    <w:p w14:paraId="35536F9F">
      <w:pPr>
        <w:pStyle w:val="45"/>
        <w:rPr>
          <w:rFonts w:cs="宋体" w:asciiTheme="minorEastAsia" w:hAnsiTheme="minorEastAsia" w:eastAsiaTheme="minorEastAsia"/>
          <w:b/>
          <w:sz w:val="36"/>
          <w:szCs w:val="36"/>
        </w:rPr>
      </w:pPr>
      <w:r>
        <w:rPr>
          <w:rFonts w:cs="宋体" w:asciiTheme="minorEastAsia" w:hAnsiTheme="minorEastAsia" w:eastAsiaTheme="minorEastAsia"/>
          <w:b/>
          <w:sz w:val="36"/>
          <w:szCs w:val="36"/>
        </w:rPr>
        <w:t>附件：</w:t>
      </w:r>
    </w:p>
    <w:p w14:paraId="581E4BC7">
      <w:pPr>
        <w:spacing w:after="156" w:afterLines="50" w:line="468" w:lineRule="exact"/>
        <w:rPr>
          <w:rFonts w:hint="eastAsia" w:asciiTheme="minorEastAsia" w:hAnsiTheme="minorEastAsia" w:eastAsiaTheme="minorEastAsia"/>
          <w:b/>
          <w:bCs/>
          <w:sz w:val="30"/>
          <w:szCs w:val="30"/>
        </w:rPr>
      </w:pPr>
      <w:r>
        <w:rPr>
          <w:rFonts w:hint="eastAsia" w:asciiTheme="minorEastAsia" w:hAnsiTheme="minorEastAsia" w:eastAsiaTheme="minorEastAsia"/>
          <w:b/>
          <w:bCs/>
          <w:sz w:val="30"/>
          <w:szCs w:val="30"/>
        </w:rPr>
        <w:t>一、技术和服务要求</w:t>
      </w:r>
    </w:p>
    <w:p w14:paraId="1D4DE72A">
      <w:pPr>
        <w:spacing w:line="360" w:lineRule="auto"/>
        <w:ind w:left="68"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1.人员要求</w:t>
      </w:r>
    </w:p>
    <w:p w14:paraId="50A9EFE1">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1.1、护理员管理人员要求</w:t>
      </w:r>
    </w:p>
    <w:p w14:paraId="2264585E">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在医院内配置项目管理团队，项目经理资质要求：本科及以上学历，取得护士资格证书，具备5年以上护理相关工作经验；按比例20个护理员配置1个护理员管理人员。</w:t>
      </w:r>
    </w:p>
    <w:p w14:paraId="7E9EC884">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1.2、护理员要求</w:t>
      </w:r>
    </w:p>
    <w:p w14:paraId="2C7F5CE7">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聘用的护理员年龄符合18-60岁，服务意识强，态度端正，无参加非法组织及活动，提供无犯罪记录证明，有一定的语言表达和沟通交流的能力，具有小学及以上文化水平，男女不限，须进行岗前培训，具有护理类初级（或以上）职称证书或医疗护理员培训证书或护理类相关培训结业证书，持有医疗护理员培训证书人员占护理员总数50%及以上，</w:t>
      </w:r>
      <w:r>
        <w:rPr>
          <w:rFonts w:hint="eastAsia" w:asciiTheme="minorEastAsia" w:hAnsiTheme="minorEastAsia" w:eastAsiaTheme="minorEastAsia"/>
          <w:sz w:val="24"/>
        </w:rPr>
        <w:t>且持有医疗护理员培训证书人员达到50人及以上。</w:t>
      </w:r>
    </w:p>
    <w:p w14:paraId="2D1BC197">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2.护理员人员管理要求</w:t>
      </w:r>
    </w:p>
    <w:p w14:paraId="1CDE9620">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2.1、护理员档案管理</w:t>
      </w:r>
    </w:p>
    <w:p w14:paraId="2231FC0E">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具有培训合格证书的护理员应建立档案，未建档不得从事护理员工作。</w:t>
      </w:r>
    </w:p>
    <w:p w14:paraId="729F61ED">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2.2、护理员健康管理</w:t>
      </w:r>
    </w:p>
    <w:p w14:paraId="677CADD1">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护理员上岗前应在二级以上医院进行健康检查并取得合格证，上岗后应每年进行一次健康检查。患有精神障碍、传染性疾病、药物过敏等疾病的人员，不得从事护理员工作。</w:t>
      </w:r>
    </w:p>
    <w:p w14:paraId="35251A58">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2.3、投标人有购买有效期内的团体人身险（包括但不限于个人意外险或雇主责任险）</w:t>
      </w:r>
    </w:p>
    <w:p w14:paraId="6B707FA0">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2.4、建立考评机制</w:t>
      </w:r>
    </w:p>
    <w:p w14:paraId="55DD1F46">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中标人建立健全以职业道德、业务水平和患者满意度为主要内容的护理员考核评价方法，定期对护理员进行考核评价，并将考核结果计入护理员个人档案，对考核评价优良的优先聘用上岗，考核评价不合格的要责令其立即整改，对拒不改正，或不服从管理、职业道德差、乱收费、侵害患者合法权益的，采购人有权取消其在本项目的陪护资格。</w:t>
      </w:r>
    </w:p>
    <w:p w14:paraId="1F05ADE7">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2.5、监督管理</w:t>
      </w:r>
    </w:p>
    <w:p w14:paraId="37ED38DB">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中标人应认真做好护理员规范化管理工作，对医院考评不合格的护理员应解除合作关系，不再进行录用。</w:t>
      </w:r>
    </w:p>
    <w:p w14:paraId="22AAFD68">
      <w:pPr>
        <w:spacing w:line="360" w:lineRule="auto"/>
        <w:ind w:left="68"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3、护理员岗位设置、服务范围、内容</w:t>
      </w:r>
    </w:p>
    <w:p w14:paraId="14C83C13">
      <w:pPr>
        <w:keepNext w:val="0"/>
        <w:keepLines w:val="0"/>
        <w:pageBreakBefore w:val="0"/>
        <w:widowControl/>
        <w:kinsoku/>
        <w:wordWrap/>
        <w:overflowPunct/>
        <w:topLinePunct w:val="0"/>
        <w:autoSpaceDE/>
        <w:autoSpaceDN/>
        <w:bidi w:val="0"/>
        <w:adjustRightInd w:val="0"/>
        <w:snapToGrid w:val="0"/>
        <w:spacing w:line="360" w:lineRule="auto"/>
        <w:ind w:left="68" w:firstLine="480" w:firstLineChars="200"/>
        <w:textAlignment w:val="auto"/>
        <w:rPr>
          <w:rFonts w:hint="eastAsia" w:asciiTheme="minorEastAsia" w:hAnsiTheme="minorEastAsia" w:eastAsiaTheme="minorEastAsia"/>
          <w:sz w:val="24"/>
        </w:rPr>
      </w:pPr>
      <w:r>
        <w:rPr>
          <w:rFonts w:hint="eastAsia" w:asciiTheme="minorEastAsia" w:hAnsiTheme="minorEastAsia" w:eastAsiaTheme="minorEastAsia"/>
          <w:sz w:val="24"/>
        </w:rPr>
        <w:t>3.1、岗位设置：接受</w:t>
      </w:r>
      <w:r>
        <w:rPr>
          <w:rFonts w:hint="eastAsia" w:asciiTheme="minorEastAsia" w:hAnsiTheme="minorEastAsia" w:eastAsiaTheme="minorEastAsia"/>
          <w:sz w:val="24"/>
          <w:u w:val="single"/>
        </w:rPr>
        <w:t>福建省肿瘤</w:t>
      </w:r>
      <w:r>
        <w:rPr>
          <w:rFonts w:hint="eastAsia" w:asciiTheme="minorEastAsia" w:hAnsiTheme="minorEastAsia" w:eastAsiaTheme="minorEastAsia"/>
          <w:sz w:val="24"/>
        </w:rPr>
        <w:t>医院陪护服务委托管理，对</w:t>
      </w:r>
      <w:r>
        <w:rPr>
          <w:rFonts w:hint="eastAsia" w:asciiTheme="minorEastAsia" w:hAnsiTheme="minorEastAsia" w:eastAsiaTheme="minorEastAsia"/>
          <w:sz w:val="24"/>
          <w:highlight w:val="none"/>
        </w:rPr>
        <w:t>护理员</w:t>
      </w:r>
      <w:r>
        <w:rPr>
          <w:rFonts w:hint="eastAsia" w:asciiTheme="minorEastAsia" w:hAnsiTheme="minorEastAsia" w:eastAsiaTheme="minorEastAsia"/>
          <w:sz w:val="24"/>
        </w:rPr>
        <w:t>实行“五统一”（统一调配、统一着装、统一标志、统一收费、统一管理）管理，严格执行护理员岗位职责，不得从事与护理员职责无关的活动，严禁护理员代替护士从事护理技术性操作。</w:t>
      </w:r>
    </w:p>
    <w:p w14:paraId="3AE817AF">
      <w:pPr>
        <w:pStyle w:val="2"/>
        <w:keepNext w:val="0"/>
        <w:keepLines w:val="0"/>
        <w:pageBreakBefore w:val="0"/>
        <w:widowControl/>
        <w:kinsoku/>
        <w:wordWrap/>
        <w:overflowPunct/>
        <w:topLinePunct w:val="0"/>
        <w:autoSpaceDE/>
        <w:autoSpaceDN/>
        <w:bidi w:val="0"/>
        <w:adjustRightInd w:val="0"/>
        <w:snapToGrid w:val="0"/>
        <w:spacing w:line="360" w:lineRule="auto"/>
        <w:ind w:firstLine="960" w:firstLineChars="400"/>
        <w:textAlignment w:val="auto"/>
        <w:rPr>
          <w:rFonts w:hint="default"/>
          <w:highlight w:val="none"/>
          <w:lang w:val="en-US"/>
        </w:rPr>
      </w:pPr>
      <w:r>
        <w:rPr>
          <w:rFonts w:hint="eastAsia" w:cs="Times New Roman" w:asciiTheme="minorEastAsia" w:hAnsiTheme="minorEastAsia" w:eastAsiaTheme="minorEastAsia"/>
          <w:kern w:val="0"/>
          <w:sz w:val="24"/>
          <w:szCs w:val="22"/>
          <w:highlight w:val="none"/>
          <w:lang w:val="en-US" w:eastAsia="zh-CN" w:bidi="ar-SA"/>
          <w14:ligatures w14:val="standardContextual"/>
        </w:rPr>
        <w:t>服务范围：未参与免陪照护服务的患者</w:t>
      </w:r>
      <w:r>
        <w:rPr>
          <w:rFonts w:ascii="Arial" w:hAnsi="Arial" w:eastAsia="Arial" w:cs="Arial"/>
          <w:i w:val="0"/>
          <w:iCs w:val="0"/>
          <w:caps w:val="0"/>
          <w:color w:val="333333"/>
          <w:spacing w:val="0"/>
          <w:sz w:val="24"/>
          <w:szCs w:val="24"/>
          <w:highlight w:val="none"/>
          <w:shd w:val="clear" w:fill="FFFFFF"/>
        </w:rPr>
        <w:t>。</w:t>
      </w:r>
    </w:p>
    <w:p w14:paraId="60B56EB4">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3.2、护理员服务内容</w:t>
      </w:r>
    </w:p>
    <w:p w14:paraId="2B64EC5F">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护理员应在科室护士长或注册护士的业务指导下从事生活护理，尊重患者、关心患者，耐心细致地完成患者的生活护理，保护患者的隐私。包括：</w:t>
      </w:r>
    </w:p>
    <w:p w14:paraId="59CCD173">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（1）24小时陪伴、观察病人，看护输液，发现异常及时报告医护人员。</w:t>
      </w:r>
    </w:p>
    <w:p w14:paraId="218C19EC">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（2）工作认真细致，严格实施各项防护措施，严防压疮、脱管、坠床、跌倒、烫伤、走失等不良事件的发生。</w:t>
      </w:r>
    </w:p>
    <w:p w14:paraId="16CB30DA">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（3）协助做好患者的床位整理，保持床头桌整洁有序，床底、地面无杂物，协助保持病房的安静整洁。</w:t>
      </w:r>
    </w:p>
    <w:p w14:paraId="0C1DE4EE">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（4）协助患者完成基本的生活护理，如卧床患者洗脸、洗头、梳头、洗脚、洗衣服、床上擦浴、修剪指（趾）甲、口腔卫生、患者会阴部清洁、皮肤护理、递送便盆、便壶、翻身、拍背、按摩、预防褥疮等。</w:t>
      </w:r>
    </w:p>
    <w:p w14:paraId="71E427BE">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（5）协助卧床患者及输液患者进食、进水、喂药，饭前饭后洗手，协助大小便及递送便器、处理排泄物等。</w:t>
      </w:r>
    </w:p>
    <w:p w14:paraId="58D5A77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（6）协助搬动患者或迁床工作，协助生活不能自理的患者起床活动，如上下床、坐轮椅、摆放体位以及活动关节等。</w:t>
      </w:r>
    </w:p>
    <w:p w14:paraId="1785B15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（7）协助患者留取各种标本。</w:t>
      </w:r>
    </w:p>
    <w:p w14:paraId="7EF0D973">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（8）协助或陪同患者外出行相关检查、治疗。</w:t>
      </w:r>
    </w:p>
    <w:p w14:paraId="78D30D3B">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（9）在护士指导下，协助患者进行康复性训练。</w:t>
      </w:r>
    </w:p>
    <w:p w14:paraId="53AF856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（10）做好患者的心理安抚，陪伴患者并与患者及家属有效沟通。</w:t>
      </w:r>
    </w:p>
    <w:p w14:paraId="0F9D625D">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3.3、严禁护理员代替护士从事以下护理技术性操作</w:t>
      </w:r>
    </w:p>
    <w:p w14:paraId="23D34821">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（1）严禁为患者调节氧气开关及氧气流量，更换或加减湿化瓶内用水。</w:t>
      </w:r>
    </w:p>
    <w:p w14:paraId="7B82D24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（2）严禁为输液患者更换液体，私自调节输液速度及为患者拔除输液管道。</w:t>
      </w:r>
    </w:p>
    <w:p w14:paraId="64C917A0">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（3）严禁为患者吸痰，擅自为患者更换各种引流瓶，为患者拔除各种引流管。</w:t>
      </w:r>
    </w:p>
    <w:p w14:paraId="119C3376">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（4）严禁擅自处理或调节监护仪器、呼吸机、输液泵等医疗设备等。</w:t>
      </w:r>
    </w:p>
    <w:p w14:paraId="306F03A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（5）严禁其它医疗护理技术操作。</w:t>
      </w:r>
    </w:p>
    <w:p w14:paraId="2DEB9940">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3.4、护理员工作要求</w:t>
      </w:r>
    </w:p>
    <w:p w14:paraId="4262EA97">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（1）服从科室护士长和护理员管理站的管理，不挑选病人或科室。</w:t>
      </w:r>
    </w:p>
    <w:p w14:paraId="67CE817D">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（2）上班时须穿工作服，平底鞋，佩戴胸卡，衣服整洁卫生。</w:t>
      </w:r>
    </w:p>
    <w:p w14:paraId="784A820E">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（3）必须有爱心观念，视病人如亲人，积极倡导“三轻四心”即“说话轻、走路轻、做事轻，爱心、耐心、细心、责任心”的服务理念。</w:t>
      </w:r>
    </w:p>
    <w:p w14:paraId="5D6C57A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（4）护理员须尊重和保护病人隐私，不泄露病人信息。</w:t>
      </w:r>
    </w:p>
    <w:p w14:paraId="206AC82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（5）护理员可配合管理中心向病人或家属催缴正当的陪护费用，除此之外不向病人及家属索取任何钱物，做到不贪不拿不敲诈勒索。</w:t>
      </w:r>
    </w:p>
    <w:p w14:paraId="3B8C7181">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3.5、护理员工作质量标准</w:t>
      </w:r>
    </w:p>
    <w:p w14:paraId="15EB41B3">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在合同实施过程中，中标供应商须定期按采购人要求对护理员的工作要求和工作质量标准进行修订提升，中标供应商须积极配合改进，以满足采购人、患者及家属的需求。</w:t>
      </w:r>
    </w:p>
    <w:p w14:paraId="7D442FB7">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工作质量标准由中标供应商管理人员监督，每日定时巡查，巡查中发现的问题及时整改，严格按照管理规章制度执行。要求如下：</w:t>
      </w:r>
    </w:p>
    <w:p w14:paraId="3BE7687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(1)病室环境整洁、安静、无异味，空气清新。</w:t>
      </w:r>
    </w:p>
    <w:p w14:paraId="379F166A">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(2)病室内无危险物品（如：刀、剪、绳、火、玻璃制品及锐器等）</w:t>
      </w:r>
    </w:p>
    <w:p w14:paraId="6D2BA60A">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(3)保持病人“三短六洁四无”：</w:t>
      </w:r>
    </w:p>
    <w:p w14:paraId="3E8DBD0D">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1）三短：病人头发、胡须、指（趾）甲短；</w:t>
      </w:r>
    </w:p>
    <w:p w14:paraId="5E9A797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2）六洁：病人口腔、皮肤、头发、手足、会阴及肛门清洁；</w:t>
      </w:r>
    </w:p>
    <w:p w14:paraId="6732604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3）四无：病人及病床无异味、衣服被褥无潮湿、床单无皱褶、皮肤无压疮。</w:t>
      </w:r>
    </w:p>
    <w:p w14:paraId="12A3AD41">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(4)护理员工作中做到细致、耐心，主动、热情；使用文明用语；</w:t>
      </w:r>
    </w:p>
    <w:p w14:paraId="2C3A51F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(5)护理员上岗着工服，带工牌，个人仪表卫生、清洁、整齐，做到头发、胡须、指甲短，身体及口腔无异味；</w:t>
      </w:r>
    </w:p>
    <w:p w14:paraId="5466F87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(6)护理员工作中见到医务人员、管理人员主动打招呼；</w:t>
      </w:r>
    </w:p>
    <w:p w14:paraId="0D56227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(7)护理员工作期间禁止玩手机；</w:t>
      </w:r>
    </w:p>
    <w:p w14:paraId="3C748B57">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(8)护理员禁止与患者、家属、医务人员及院里领导发生争吵、身体接触；</w:t>
      </w:r>
    </w:p>
    <w:p w14:paraId="5E126238">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(9)护理员要耐心听取患者、家属及医务人员建议，有问题及时上报主管；</w:t>
      </w:r>
    </w:p>
    <w:p w14:paraId="024EE17A">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(10)护理员不得在病区做饭、看电视、会客、扎堆聊天、大声喧哗、随意外出，没有照护病人时不得留宿病房，不得以各种方式向病人及家属索要财物。</w:t>
      </w:r>
    </w:p>
    <w:p w14:paraId="272CC4B6">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(11)护理员不参与医疗有关事宜，不对病情及医疗事宜发表意见，保护患者隐私。</w:t>
      </w:r>
    </w:p>
    <w:p w14:paraId="7B834738">
      <w:pPr>
        <w:spacing w:line="360" w:lineRule="auto"/>
        <w:ind w:left="68" w:firstLine="482" w:firstLineChars="200"/>
        <w:rPr>
          <w:rFonts w:hint="eastAsia" w:asciiTheme="minorEastAsia" w:hAnsiTheme="minorEastAsia" w:eastAsiaTheme="minorEastAsia"/>
          <w:b/>
          <w:bCs/>
          <w:sz w:val="24"/>
        </w:rPr>
      </w:pPr>
      <w:r>
        <w:rPr>
          <w:rFonts w:hint="eastAsia" w:asciiTheme="minorEastAsia" w:hAnsiTheme="minorEastAsia" w:eastAsiaTheme="minorEastAsia"/>
          <w:b/>
          <w:bCs/>
          <w:sz w:val="24"/>
        </w:rPr>
        <w:t>4、服务要求</w:t>
      </w:r>
    </w:p>
    <w:p w14:paraId="7A688031">
      <w:pPr>
        <w:spacing w:line="360" w:lineRule="auto"/>
        <w:ind w:left="68"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4.1、</w:t>
      </w:r>
      <w:r>
        <w:rPr>
          <w:rFonts w:hint="eastAsia" w:asciiTheme="minorEastAsia" w:hAnsiTheme="minorEastAsia" w:eastAsiaTheme="minorEastAsia"/>
          <w:sz w:val="24"/>
          <w:lang w:val="en-US" w:eastAsia="zh-CN"/>
        </w:rPr>
        <w:t>中标人应</w:t>
      </w:r>
      <w:r>
        <w:rPr>
          <w:rFonts w:hint="eastAsia" w:asciiTheme="minorEastAsia" w:hAnsiTheme="minorEastAsia" w:eastAsiaTheme="minorEastAsia"/>
          <w:sz w:val="24"/>
        </w:rPr>
        <w:t>提供培训方案,包括但不限于以下内容：每年有培训计划，每月对护理员进行理论、技能培训，重点包括职业道德、医院基本工作程序、规章制度及住院患者日常陪护照料等。培训内容：（1）职业道德；（2）工作制度、职责和流程；（3）消毒隔离基本知识；（4）患者卫生处置、生活护理和饮食种类；（5）护理等级要求；（6）常见卧位及意义，更换卧位方法；（7）健康教育相关知识和沟通交流技巧；（8）手卫生、消防知识、CPR；（9）患者转运、搬运方法及注意事项；（10）如何协助各种标本采集。培训方式为上岗前培训和上岗后定期强化培训相结合。</w:t>
      </w:r>
    </w:p>
    <w:p w14:paraId="160AE14C">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中标人应</w:t>
      </w:r>
      <w:r>
        <w:rPr>
          <w:rFonts w:hint="eastAsia" w:asciiTheme="minorEastAsia" w:hAnsiTheme="minorEastAsia" w:eastAsiaTheme="minorEastAsia"/>
          <w:sz w:val="24"/>
        </w:rPr>
        <w:t>提供服务投诉处理方案。（包括</w:t>
      </w:r>
      <w:r>
        <w:rPr>
          <w:rFonts w:hint="eastAsia" w:asciiTheme="minorEastAsia" w:hAnsiTheme="minorEastAsia" w:eastAsiaTheme="minorEastAsia"/>
          <w:sz w:val="24"/>
          <w:lang w:val="en-US" w:eastAsia="zh-CN"/>
        </w:rPr>
        <w:t>处理投诉联系方式、</w:t>
      </w:r>
      <w:r>
        <w:rPr>
          <w:rFonts w:hint="eastAsia" w:asciiTheme="minorEastAsia" w:hAnsiTheme="minorEastAsia" w:eastAsiaTheme="minorEastAsia"/>
          <w:sz w:val="24"/>
        </w:rPr>
        <w:t>处理投诉机构、投诉处理具体流程、信息反馈处理流程及时间等）</w:t>
      </w:r>
    </w:p>
    <w:p w14:paraId="3A71E013">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中标人应在采购人单位内派驻护理员管理人员，管理人员服从护理部领导或者指定负责人的指导，对人员应严格管理，做到24小时昼夜服务，新派护理员需在2小时到位，服从病区护士长及护士的管理，确保陪护质量。</w:t>
      </w:r>
    </w:p>
    <w:p w14:paraId="3DAE0CF9">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、护理员调配：护理员的轮班及休息时间由派遣公司自行安排，遇到人员紧缺的情况，中标人必须进行调配，确保有人在岗。</w:t>
      </w:r>
    </w:p>
    <w:p w14:paraId="59347EA7">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、中标人应提供临时突发时间的应急处置措施，如遇到护理员请假、突发性等缺人情况，由中标人统筹安排，保证有人在岗。</w:t>
      </w:r>
    </w:p>
    <w:p w14:paraId="0D5B4668">
      <w:pPr>
        <w:spacing w:after="156" w:afterLines="50" w:line="468" w:lineRule="exact"/>
        <w:rPr>
          <w:rFonts w:hint="eastAsia" w:asciiTheme="minorEastAsia" w:hAnsiTheme="minorEastAsia" w:eastAsiaTheme="minorEastAsia"/>
          <w:b/>
          <w:bCs/>
          <w:sz w:val="30"/>
          <w:szCs w:val="30"/>
        </w:rPr>
      </w:pPr>
      <w:r>
        <w:rPr>
          <w:rFonts w:hint="eastAsia" w:asciiTheme="minorEastAsia" w:hAnsiTheme="minorEastAsia" w:eastAsiaTheme="minorEastAsia"/>
          <w:b/>
          <w:bCs/>
          <w:sz w:val="30"/>
          <w:szCs w:val="30"/>
        </w:rPr>
        <w:t>二、收费标准及服务模式</w:t>
      </w:r>
    </w:p>
    <w:tbl>
      <w:tblPr>
        <w:tblStyle w:val="20"/>
        <w:tblW w:w="8599" w:type="dxa"/>
        <w:tblInd w:w="-30" w:type="dxa"/>
        <w:tblLayout w:type="autofit"/>
        <w:tblCellMar>
          <w:top w:w="0" w:type="dxa"/>
          <w:left w:w="108" w:type="dxa"/>
          <w:bottom w:w="0" w:type="dxa"/>
          <w:right w:w="108" w:type="dxa"/>
        </w:tblCellMar>
      </w:tblPr>
      <w:tblGrid>
        <w:gridCol w:w="1554"/>
        <w:gridCol w:w="1453"/>
        <w:gridCol w:w="4688"/>
        <w:gridCol w:w="904"/>
      </w:tblGrid>
      <w:tr w14:paraId="798D9339">
        <w:tblPrEx>
          <w:tblCellMar>
            <w:top w:w="0" w:type="dxa"/>
            <w:left w:w="108" w:type="dxa"/>
            <w:bottom w:w="0" w:type="dxa"/>
            <w:right w:w="108" w:type="dxa"/>
          </w:tblCellMar>
        </w:tblPrEx>
        <w:trPr>
          <w:trHeight w:val="1094" w:hRule="atLeast"/>
        </w:trPr>
        <w:tc>
          <w:tcPr>
            <w:tcW w:w="8599" w:type="dxa"/>
            <w:gridSpan w:val="4"/>
            <w:tcBorders>
              <w:top w:val="nil"/>
              <w:left w:val="nil"/>
              <w:bottom w:val="nil"/>
              <w:right w:val="nil"/>
            </w:tcBorders>
          </w:tcPr>
          <w:p w14:paraId="109EFCF0">
            <w:pPr>
              <w:widowControl w:val="0"/>
              <w:autoSpaceDE w:val="0"/>
              <w:autoSpaceDN w:val="0"/>
              <w:snapToGrid/>
              <w:spacing w:after="0"/>
              <w:rPr>
                <w:rFonts w:ascii="仿宋" w:hAnsi="Arial" w:eastAsia="仿宋" w:cs="仿宋"/>
                <w:color w:val="000000"/>
                <w:sz w:val="24"/>
                <w:szCs w:val="24"/>
              </w:rPr>
            </w:pPr>
            <w:r>
              <w:rPr>
                <w:rFonts w:ascii="仿宋" w:hAnsi="Arial" w:eastAsia="仿宋" w:cs="仿宋"/>
                <w:color w:val="000000"/>
                <w:sz w:val="24"/>
                <w:szCs w:val="24"/>
              </w:rPr>
              <w:t xml:space="preserve">   </w:t>
            </w:r>
            <w:r>
              <w:rPr>
                <w:rFonts w:hint="eastAsia" w:ascii="仿宋" w:hAnsi="Arial" w:eastAsia="仿宋" w:cs="仿宋"/>
                <w:color w:val="000000"/>
                <w:sz w:val="24"/>
                <w:szCs w:val="24"/>
              </w:rPr>
              <w:t>根据福建省卫健委福建省人力资源和社会保障厅福建省物价局联合下发《关于开展规范医院护工管理试点工作的意见》闽卫医【</w:t>
            </w:r>
            <w:r>
              <w:rPr>
                <w:rFonts w:ascii="仿宋" w:hAnsi="Arial" w:eastAsia="仿宋" w:cs="仿宋"/>
                <w:color w:val="000000"/>
                <w:sz w:val="24"/>
                <w:szCs w:val="24"/>
              </w:rPr>
              <w:t>2013</w:t>
            </w:r>
            <w:r>
              <w:rPr>
                <w:rFonts w:hint="eastAsia" w:ascii="仿宋" w:hAnsi="Arial" w:eastAsia="仿宋" w:cs="仿宋"/>
                <w:color w:val="000000"/>
                <w:sz w:val="24"/>
                <w:szCs w:val="24"/>
              </w:rPr>
              <w:t>】</w:t>
            </w:r>
            <w:r>
              <w:rPr>
                <w:rFonts w:ascii="仿宋" w:hAnsi="Arial" w:eastAsia="仿宋" w:cs="仿宋"/>
                <w:color w:val="000000"/>
                <w:sz w:val="24"/>
                <w:szCs w:val="24"/>
              </w:rPr>
              <w:t>68</w:t>
            </w:r>
            <w:r>
              <w:rPr>
                <w:rFonts w:hint="eastAsia" w:ascii="仿宋" w:hAnsi="Arial" w:eastAsia="仿宋" w:cs="仿宋"/>
                <w:color w:val="000000"/>
                <w:sz w:val="24"/>
                <w:szCs w:val="24"/>
              </w:rPr>
              <w:t>号文件精神并结合福建医科大学附属协和医院、</w:t>
            </w:r>
            <w:r>
              <w:rPr>
                <w:rFonts w:hint="eastAsia" w:ascii="仿宋" w:hAnsi="Arial" w:eastAsia="仿宋" w:cs="仿宋"/>
                <w:color w:val="000000"/>
                <w:sz w:val="24"/>
                <w:szCs w:val="24"/>
                <w:lang w:val="en-US" w:eastAsia="zh-CN"/>
              </w:rPr>
              <w:t>福建省立医院、</w:t>
            </w:r>
            <w:r>
              <w:rPr>
                <w:rFonts w:hint="eastAsia" w:ascii="仿宋" w:hAnsi="Arial" w:eastAsia="仿宋" w:cs="仿宋"/>
                <w:color w:val="000000"/>
                <w:sz w:val="24"/>
                <w:szCs w:val="24"/>
              </w:rPr>
              <w:t>福建医科大学附属第一医院、福建省第三人民医院等三级公立医院护理员收费标准，拟定我院护理员收费标准如下：</w:t>
            </w:r>
          </w:p>
        </w:tc>
      </w:tr>
      <w:tr w14:paraId="42A32B77">
        <w:tblPrEx>
          <w:tblCellMar>
            <w:top w:w="0" w:type="dxa"/>
            <w:left w:w="108" w:type="dxa"/>
            <w:bottom w:w="0" w:type="dxa"/>
            <w:right w:w="108" w:type="dxa"/>
          </w:tblCellMar>
        </w:tblPrEx>
        <w:trPr>
          <w:trHeight w:val="362" w:hRule="atLeast"/>
        </w:trPr>
        <w:tc>
          <w:tcPr>
            <w:tcW w:w="8599" w:type="dxa"/>
            <w:gridSpan w:val="4"/>
            <w:tcBorders>
              <w:top w:val="single" w:color="auto" w:sz="6" w:space="0"/>
              <w:left w:val="single" w:color="auto" w:sz="6" w:space="0"/>
              <w:bottom w:val="single" w:color="auto" w:sz="6" w:space="0"/>
              <w:right w:val="single" w:color="auto" w:sz="6" w:space="0"/>
            </w:tcBorders>
          </w:tcPr>
          <w:p w14:paraId="126B8A3E">
            <w:pPr>
              <w:widowControl w:val="0"/>
              <w:autoSpaceDE w:val="0"/>
              <w:autoSpaceDN w:val="0"/>
              <w:snapToGrid/>
              <w:spacing w:after="0"/>
              <w:jc w:val="center"/>
              <w:rPr>
                <w:rFonts w:hint="eastAsia" w:ascii="仿宋" w:hAnsi="Arial" w:eastAsia="仿宋" w:cs="仿宋"/>
                <w:b/>
                <w:bCs/>
                <w:color w:val="000000"/>
                <w:sz w:val="28"/>
                <w:szCs w:val="28"/>
              </w:rPr>
            </w:pPr>
            <w:r>
              <w:rPr>
                <w:rFonts w:hint="eastAsia" w:ascii="仿宋" w:hAnsi="Arial" w:eastAsia="仿宋" w:cs="仿宋"/>
                <w:b/>
                <w:bCs/>
                <w:color w:val="000000"/>
                <w:sz w:val="32"/>
                <w:szCs w:val="32"/>
              </w:rPr>
              <w:t>福建省肿瘤医院照护护理模式及收费标准</w:t>
            </w:r>
          </w:p>
        </w:tc>
      </w:tr>
      <w:tr w14:paraId="017F981A">
        <w:tblPrEx>
          <w:tblCellMar>
            <w:top w:w="0" w:type="dxa"/>
            <w:left w:w="108" w:type="dxa"/>
            <w:bottom w:w="0" w:type="dxa"/>
            <w:right w:w="108" w:type="dxa"/>
          </w:tblCellMar>
        </w:tblPrEx>
        <w:trPr>
          <w:trHeight w:val="362" w:hRule="atLeast"/>
        </w:trPr>
        <w:tc>
          <w:tcPr>
            <w:tcW w:w="0" w:type="auto"/>
            <w:tcBorders>
              <w:top w:val="single" w:color="auto" w:sz="6" w:space="0"/>
              <w:left w:val="single" w:color="auto" w:sz="6" w:space="0"/>
              <w:bottom w:val="single" w:color="auto" w:sz="6" w:space="0"/>
              <w:right w:val="single" w:color="auto" w:sz="6" w:space="0"/>
            </w:tcBorders>
          </w:tcPr>
          <w:p w14:paraId="5280A959">
            <w:pPr>
              <w:widowControl w:val="0"/>
              <w:autoSpaceDE w:val="0"/>
              <w:autoSpaceDN w:val="0"/>
              <w:snapToGrid/>
              <w:spacing w:after="0"/>
              <w:jc w:val="center"/>
              <w:rPr>
                <w:rFonts w:ascii="仿宋" w:hAnsi="Arial" w:eastAsia="仿宋" w:cs="仿宋"/>
                <w:b/>
                <w:bCs/>
                <w:color w:val="000000"/>
                <w:sz w:val="28"/>
                <w:szCs w:val="28"/>
              </w:rPr>
            </w:pPr>
            <w:r>
              <w:rPr>
                <w:rFonts w:hint="eastAsia" w:ascii="仿宋" w:hAnsi="Arial" w:eastAsia="仿宋" w:cs="仿宋"/>
                <w:b/>
                <w:bCs/>
                <w:color w:val="000000"/>
                <w:sz w:val="28"/>
                <w:szCs w:val="28"/>
              </w:rPr>
              <w:t>级别</w:t>
            </w:r>
          </w:p>
        </w:tc>
        <w:tc>
          <w:tcPr>
            <w:tcW w:w="0" w:type="auto"/>
            <w:tcBorders>
              <w:top w:val="single" w:color="auto" w:sz="6" w:space="0"/>
              <w:left w:val="single" w:color="auto" w:sz="6" w:space="0"/>
              <w:bottom w:val="single" w:color="auto" w:sz="6" w:space="0"/>
              <w:right w:val="single" w:color="auto" w:sz="6" w:space="0"/>
            </w:tcBorders>
          </w:tcPr>
          <w:p w14:paraId="2CED9626">
            <w:pPr>
              <w:widowControl w:val="0"/>
              <w:autoSpaceDE w:val="0"/>
              <w:autoSpaceDN w:val="0"/>
              <w:snapToGrid/>
              <w:spacing w:after="0"/>
              <w:jc w:val="center"/>
              <w:rPr>
                <w:rFonts w:ascii="仿宋" w:hAnsi="Arial" w:eastAsia="仿宋" w:cs="仿宋"/>
                <w:b/>
                <w:bCs/>
                <w:color w:val="000000"/>
                <w:sz w:val="28"/>
                <w:szCs w:val="28"/>
              </w:rPr>
            </w:pPr>
            <w:r>
              <w:rPr>
                <w:rFonts w:hint="eastAsia" w:ascii="仿宋" w:hAnsi="Arial" w:eastAsia="仿宋" w:cs="仿宋"/>
                <w:b/>
                <w:bCs/>
                <w:color w:val="000000"/>
                <w:sz w:val="28"/>
                <w:szCs w:val="28"/>
              </w:rPr>
              <w:t>适用范围</w:t>
            </w:r>
          </w:p>
        </w:tc>
        <w:tc>
          <w:tcPr>
            <w:tcW w:w="0" w:type="auto"/>
            <w:tcBorders>
              <w:top w:val="single" w:color="auto" w:sz="6" w:space="0"/>
              <w:left w:val="single" w:color="auto" w:sz="6" w:space="0"/>
              <w:bottom w:val="single" w:color="auto" w:sz="6" w:space="0"/>
              <w:right w:val="single" w:color="auto" w:sz="6" w:space="0"/>
            </w:tcBorders>
          </w:tcPr>
          <w:p w14:paraId="31A5E8FA">
            <w:pPr>
              <w:widowControl w:val="0"/>
              <w:autoSpaceDE w:val="0"/>
              <w:autoSpaceDN w:val="0"/>
              <w:snapToGrid/>
              <w:spacing w:after="0"/>
              <w:jc w:val="center"/>
              <w:rPr>
                <w:rFonts w:ascii="仿宋" w:hAnsi="Arial" w:eastAsia="仿宋" w:cs="仿宋"/>
                <w:b/>
                <w:bCs/>
                <w:color w:val="000000"/>
                <w:sz w:val="28"/>
                <w:szCs w:val="28"/>
              </w:rPr>
            </w:pPr>
            <w:r>
              <w:rPr>
                <w:rFonts w:hint="eastAsia" w:ascii="仿宋" w:hAnsi="Arial" w:eastAsia="仿宋" w:cs="仿宋"/>
                <w:b/>
                <w:bCs/>
                <w:color w:val="000000"/>
                <w:sz w:val="28"/>
                <w:szCs w:val="28"/>
              </w:rPr>
              <w:t>服务内容</w:t>
            </w:r>
          </w:p>
        </w:tc>
        <w:tc>
          <w:tcPr>
            <w:tcW w:w="904" w:type="dxa"/>
            <w:tcBorders>
              <w:top w:val="single" w:color="auto" w:sz="6" w:space="0"/>
              <w:left w:val="single" w:color="auto" w:sz="6" w:space="0"/>
              <w:bottom w:val="single" w:color="auto" w:sz="6" w:space="0"/>
              <w:right w:val="single" w:color="auto" w:sz="6" w:space="0"/>
            </w:tcBorders>
          </w:tcPr>
          <w:p w14:paraId="44E78900">
            <w:pPr>
              <w:widowControl w:val="0"/>
              <w:autoSpaceDE w:val="0"/>
              <w:autoSpaceDN w:val="0"/>
              <w:snapToGrid/>
              <w:spacing w:after="0"/>
              <w:jc w:val="center"/>
              <w:rPr>
                <w:rFonts w:ascii="仿宋" w:hAnsi="Arial" w:eastAsia="仿宋" w:cs="仿宋"/>
                <w:b/>
                <w:bCs/>
                <w:color w:val="000000"/>
                <w:sz w:val="28"/>
                <w:szCs w:val="28"/>
              </w:rPr>
            </w:pPr>
            <w:r>
              <w:rPr>
                <w:rFonts w:hint="eastAsia" w:ascii="仿宋" w:hAnsi="Arial" w:eastAsia="仿宋" w:cs="仿宋"/>
                <w:b/>
                <w:bCs/>
                <w:color w:val="000000"/>
                <w:sz w:val="28"/>
                <w:szCs w:val="28"/>
              </w:rPr>
              <w:t>限价</w:t>
            </w:r>
          </w:p>
        </w:tc>
      </w:tr>
      <w:tr w14:paraId="0812D937">
        <w:tblPrEx>
          <w:tblCellMar>
            <w:top w:w="0" w:type="dxa"/>
            <w:left w:w="108" w:type="dxa"/>
            <w:bottom w:w="0" w:type="dxa"/>
            <w:right w:w="108" w:type="dxa"/>
          </w:tblCellMar>
        </w:tblPrEx>
        <w:trPr>
          <w:trHeight w:val="3127" w:hRule="atLeast"/>
        </w:trPr>
        <w:tc>
          <w:tcPr>
            <w:tcW w:w="0" w:type="auto"/>
            <w:tcBorders>
              <w:top w:val="single" w:color="auto" w:sz="6" w:space="0"/>
              <w:left w:val="single" w:color="auto" w:sz="6" w:space="0"/>
              <w:bottom w:val="single" w:color="auto" w:sz="6" w:space="0"/>
              <w:right w:val="single" w:color="auto" w:sz="6" w:space="0"/>
            </w:tcBorders>
          </w:tcPr>
          <w:p w14:paraId="16FABB6B">
            <w:pPr>
              <w:widowControl w:val="0"/>
              <w:autoSpaceDE w:val="0"/>
              <w:autoSpaceDN w:val="0"/>
              <w:snapToGrid/>
              <w:spacing w:after="0"/>
              <w:rPr>
                <w:rFonts w:hint="eastAsia" w:ascii="仿宋_GB2312" w:hAnsi="Arial" w:eastAsia="仿宋_GB2312" w:cs="仿宋_GB2312"/>
                <w:color w:val="000000"/>
                <w:sz w:val="24"/>
                <w:szCs w:val="24"/>
              </w:rPr>
            </w:pPr>
            <w:r>
              <w:rPr>
                <w:rFonts w:hint="eastAsia" w:ascii="仿宋_GB2312" w:hAnsi="Arial" w:eastAsia="仿宋_GB2312" w:cs="仿宋_GB2312"/>
                <w:color w:val="000000"/>
                <w:sz w:val="24"/>
                <w:szCs w:val="24"/>
              </w:rPr>
              <w:t xml:space="preserve">C级护理                     </w:t>
            </w:r>
          </w:p>
          <w:p w14:paraId="2BF4C487">
            <w:pPr>
              <w:widowControl w:val="0"/>
              <w:autoSpaceDE w:val="0"/>
              <w:autoSpaceDN w:val="0"/>
              <w:snapToGrid/>
              <w:spacing w:after="0"/>
              <w:rPr>
                <w:rFonts w:ascii="仿宋_GB2312" w:hAnsi="Arial" w:eastAsia="仿宋_GB2312" w:cs="仿宋_GB2312"/>
                <w:color w:val="000000"/>
                <w:sz w:val="24"/>
                <w:szCs w:val="24"/>
              </w:rPr>
            </w:pPr>
            <w:r>
              <w:rPr>
                <w:rFonts w:hint="eastAsia" w:ascii="仿宋_GB2312" w:hAnsi="Arial" w:eastAsia="仿宋_GB2312" w:cs="仿宋_GB2312"/>
                <w:color w:val="000000"/>
                <w:sz w:val="24"/>
                <w:szCs w:val="24"/>
              </w:rPr>
              <w:t>（一对</w:t>
            </w:r>
            <w:r>
              <w:rPr>
                <w:rFonts w:hint="eastAsia" w:ascii="仿宋_GB2312" w:hAnsi="Arial" w:eastAsia="仿宋_GB2312" w:cs="仿宋_GB2312"/>
                <w:color w:val="000000"/>
                <w:sz w:val="24"/>
                <w:szCs w:val="24"/>
                <w:lang w:val="en-US" w:eastAsia="zh-CN"/>
              </w:rPr>
              <w:t>三</w:t>
            </w:r>
            <w:r>
              <w:rPr>
                <w:rFonts w:hint="eastAsia" w:ascii="仿宋_GB2312" w:hAnsi="Arial" w:eastAsia="仿宋_GB2312" w:cs="仿宋_GB2312"/>
                <w:color w:val="000000"/>
                <w:sz w:val="24"/>
                <w:szCs w:val="24"/>
              </w:rPr>
              <w:t>）</w:t>
            </w:r>
          </w:p>
        </w:tc>
        <w:tc>
          <w:tcPr>
            <w:tcW w:w="0" w:type="auto"/>
            <w:tcBorders>
              <w:top w:val="single" w:color="auto" w:sz="6" w:space="0"/>
              <w:left w:val="single" w:color="auto" w:sz="6" w:space="0"/>
              <w:bottom w:val="single" w:color="auto" w:sz="6" w:space="0"/>
              <w:right w:val="single" w:color="auto" w:sz="6" w:space="0"/>
            </w:tcBorders>
          </w:tcPr>
          <w:p w14:paraId="6824270D">
            <w:pPr>
              <w:widowControl w:val="0"/>
              <w:autoSpaceDE w:val="0"/>
              <w:autoSpaceDN w:val="0"/>
              <w:snapToGrid/>
              <w:spacing w:after="0"/>
              <w:rPr>
                <w:rFonts w:ascii="仿宋_GB2312" w:hAnsi="Arial" w:eastAsia="仿宋_GB2312" w:cs="仿宋_GB2312"/>
                <w:color w:val="000000"/>
                <w:sz w:val="24"/>
                <w:szCs w:val="24"/>
              </w:rPr>
            </w:pPr>
            <w:r>
              <w:rPr>
                <w:rFonts w:hint="eastAsia" w:ascii="仿宋_GB2312" w:hAnsi="Arial" w:eastAsia="仿宋_GB2312" w:cs="仿宋_GB2312"/>
                <w:color w:val="000000"/>
                <w:sz w:val="24"/>
                <w:szCs w:val="24"/>
              </w:rPr>
              <w:t>部分生活不能自理患者（能正常如厕）</w:t>
            </w:r>
          </w:p>
        </w:tc>
        <w:tc>
          <w:tcPr>
            <w:tcW w:w="0" w:type="auto"/>
            <w:tcBorders>
              <w:top w:val="single" w:color="auto" w:sz="6" w:space="0"/>
              <w:left w:val="single" w:color="auto" w:sz="6" w:space="0"/>
              <w:bottom w:val="single" w:color="auto" w:sz="6" w:space="0"/>
              <w:right w:val="single" w:color="auto" w:sz="6" w:space="0"/>
            </w:tcBorders>
          </w:tcPr>
          <w:p w14:paraId="4DFB022A">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1.</w:t>
            </w:r>
            <w:r>
              <w:rPr>
                <w:rFonts w:hint="eastAsia" w:ascii="仿宋_GB2312" w:hAnsi="Arial" w:eastAsia="仿宋_GB2312" w:cs="仿宋_GB2312"/>
                <w:color w:val="000000"/>
                <w:sz w:val="24"/>
                <w:szCs w:val="24"/>
              </w:rPr>
              <w:t>保证病室整洁：整理床单位、协助将患者个人用物摆放整齐，床下尿壶、便盆等不落地。</w:t>
            </w:r>
          </w:p>
          <w:p w14:paraId="318EDEB9">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2.</w:t>
            </w:r>
            <w:r>
              <w:rPr>
                <w:rFonts w:hint="eastAsia" w:ascii="仿宋_GB2312" w:hAnsi="Arial" w:eastAsia="仿宋_GB2312" w:cs="仿宋_GB2312"/>
                <w:color w:val="000000"/>
                <w:sz w:val="24"/>
                <w:szCs w:val="24"/>
              </w:rPr>
              <w:t>保证患者清洁：协助患者洗漱、擦身、更换衣裤、洗头、修剪指甲、剃胡须。</w:t>
            </w:r>
          </w:p>
          <w:p w14:paraId="51033466">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3.</w:t>
            </w:r>
            <w:r>
              <w:rPr>
                <w:rFonts w:hint="eastAsia" w:ascii="仿宋_GB2312" w:hAnsi="Arial" w:eastAsia="仿宋_GB2312" w:cs="仿宋_GB2312"/>
                <w:color w:val="000000"/>
                <w:sz w:val="24"/>
                <w:szCs w:val="24"/>
              </w:rPr>
              <w:t>促进患者舒适：协助患者打饭、进食、饮水，协助患者翻身、拍背。</w:t>
            </w:r>
          </w:p>
          <w:p w14:paraId="02FE1B0E">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4.</w:t>
            </w:r>
            <w:r>
              <w:rPr>
                <w:rFonts w:hint="eastAsia" w:ascii="仿宋_GB2312" w:hAnsi="Arial" w:eastAsia="仿宋_GB2312" w:cs="仿宋_GB2312"/>
                <w:color w:val="000000"/>
                <w:sz w:val="24"/>
                <w:szCs w:val="24"/>
              </w:rPr>
              <w:t>维护患者安全：协助患者床椅移动、协助患者使用轮椅、平车等转运工具。</w:t>
            </w:r>
          </w:p>
          <w:p w14:paraId="69608E13">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5.</w:t>
            </w:r>
            <w:r>
              <w:rPr>
                <w:rFonts w:hint="eastAsia" w:ascii="仿宋_GB2312" w:hAnsi="Arial" w:eastAsia="仿宋_GB2312" w:cs="仿宋_GB2312"/>
                <w:color w:val="000000"/>
                <w:sz w:val="24"/>
                <w:szCs w:val="24"/>
              </w:rPr>
              <w:t>在医护人员的指导下，注意患者病情、输液情况的观察、保持各管路通畅，发现异常及时告知医护人员。</w:t>
            </w:r>
            <w:r>
              <w:rPr>
                <w:rFonts w:ascii="仿宋_GB2312" w:hAnsi="Arial" w:eastAsia="仿宋_GB2312" w:cs="仿宋_GB2312"/>
                <w:color w:val="000000"/>
                <w:sz w:val="24"/>
                <w:szCs w:val="24"/>
              </w:rPr>
              <w:t xml:space="preserve">                                  </w:t>
            </w:r>
            <w:r>
              <w:rPr>
                <w:rFonts w:ascii="仿宋_GB2312" w:hAnsi="Arial" w:eastAsia="仿宋_GB2312" w:cs="仿宋_GB2312"/>
                <w:b/>
                <w:bCs/>
                <w:color w:val="000000"/>
                <w:sz w:val="24"/>
                <w:szCs w:val="24"/>
              </w:rPr>
              <w:t>6.</w:t>
            </w:r>
            <w:r>
              <w:rPr>
                <w:rFonts w:hint="eastAsia" w:ascii="仿宋_GB2312" w:hAnsi="Arial" w:eastAsia="仿宋_GB2312" w:cs="仿宋_GB2312"/>
                <w:b/>
                <w:bCs/>
                <w:color w:val="000000"/>
                <w:sz w:val="24"/>
                <w:szCs w:val="24"/>
              </w:rPr>
              <w:t>每班定时巡视，</w:t>
            </w:r>
            <w:r>
              <w:rPr>
                <w:rFonts w:ascii="仿宋_GB2312" w:hAnsi="Arial" w:eastAsia="仿宋_GB2312" w:cs="仿宋_GB2312"/>
                <w:b/>
                <w:bCs/>
                <w:color w:val="000000"/>
                <w:sz w:val="24"/>
                <w:szCs w:val="24"/>
              </w:rPr>
              <w:t>12</w:t>
            </w:r>
            <w:r>
              <w:rPr>
                <w:rFonts w:hint="eastAsia" w:ascii="仿宋_GB2312" w:hAnsi="Arial" w:eastAsia="仿宋_GB2312" w:cs="仿宋_GB2312"/>
                <w:b/>
                <w:bCs/>
                <w:color w:val="000000"/>
                <w:sz w:val="24"/>
                <w:szCs w:val="24"/>
              </w:rPr>
              <w:t>小时轮班服务。</w:t>
            </w:r>
          </w:p>
          <w:p w14:paraId="38374C44">
            <w:pPr>
              <w:widowControl w:val="0"/>
              <w:autoSpaceDE w:val="0"/>
              <w:autoSpaceDN w:val="0"/>
              <w:snapToGrid/>
              <w:spacing w:after="0"/>
              <w:rPr>
                <w:rFonts w:ascii="仿宋_GB2312" w:hAnsi="Arial" w:eastAsia="仿宋_GB2312" w:cs="仿宋_GB2312"/>
                <w:color w:val="000000"/>
                <w:sz w:val="24"/>
                <w:szCs w:val="24"/>
              </w:rPr>
            </w:pPr>
          </w:p>
        </w:tc>
        <w:tc>
          <w:tcPr>
            <w:tcW w:w="904" w:type="dxa"/>
            <w:tcBorders>
              <w:top w:val="single" w:color="auto" w:sz="6" w:space="0"/>
              <w:left w:val="single" w:color="auto" w:sz="6" w:space="0"/>
              <w:bottom w:val="single" w:color="auto" w:sz="6" w:space="0"/>
              <w:right w:val="single" w:color="auto" w:sz="6" w:space="0"/>
            </w:tcBorders>
          </w:tcPr>
          <w:p w14:paraId="3C75A39F">
            <w:pPr>
              <w:widowControl w:val="0"/>
              <w:autoSpaceDE w:val="0"/>
              <w:autoSpaceDN w:val="0"/>
              <w:snapToGrid/>
              <w:spacing w:after="0"/>
              <w:rPr>
                <w:rFonts w:ascii="仿宋_GB2312" w:hAnsi="Arial" w:eastAsia="仿宋_GB2312" w:cs="仿宋_GB2312"/>
                <w:color w:val="000000"/>
                <w:sz w:val="24"/>
                <w:szCs w:val="24"/>
              </w:rPr>
            </w:pPr>
            <w:r>
              <w:rPr>
                <w:rFonts w:hint="eastAsia" w:ascii="仿宋_GB2312" w:hAnsi="Arial" w:eastAsia="仿宋_GB2312" w:cs="仿宋_GB2312"/>
                <w:color w:val="000000"/>
                <w:sz w:val="24"/>
                <w:szCs w:val="24"/>
                <w:lang w:val="en-US" w:eastAsia="zh-CN"/>
              </w:rPr>
              <w:t>150</w:t>
            </w:r>
            <w:r>
              <w:rPr>
                <w:rFonts w:hint="eastAsia" w:ascii="仿宋_GB2312" w:hAnsi="Arial" w:eastAsia="仿宋_GB2312" w:cs="仿宋_GB2312"/>
                <w:color w:val="000000"/>
                <w:sz w:val="24"/>
                <w:szCs w:val="24"/>
              </w:rPr>
              <w:t>元/天</w:t>
            </w:r>
          </w:p>
        </w:tc>
      </w:tr>
      <w:tr w14:paraId="6EBAA5F9">
        <w:tblPrEx>
          <w:tblCellMar>
            <w:top w:w="0" w:type="dxa"/>
            <w:left w:w="108" w:type="dxa"/>
            <w:bottom w:w="0" w:type="dxa"/>
            <w:right w:w="108" w:type="dxa"/>
          </w:tblCellMar>
        </w:tblPrEx>
        <w:trPr>
          <w:trHeight w:val="3322" w:hRule="atLeast"/>
        </w:trPr>
        <w:tc>
          <w:tcPr>
            <w:tcW w:w="0" w:type="auto"/>
            <w:tcBorders>
              <w:top w:val="single" w:color="auto" w:sz="6" w:space="0"/>
              <w:left w:val="single" w:color="auto" w:sz="6" w:space="0"/>
              <w:bottom w:val="single" w:color="auto" w:sz="6" w:space="0"/>
              <w:right w:val="single" w:color="auto" w:sz="6" w:space="0"/>
            </w:tcBorders>
          </w:tcPr>
          <w:p w14:paraId="5623CD46">
            <w:pPr>
              <w:widowControl w:val="0"/>
              <w:autoSpaceDE w:val="0"/>
              <w:autoSpaceDN w:val="0"/>
              <w:snapToGrid/>
              <w:spacing w:after="0"/>
              <w:jc w:val="center"/>
              <w:rPr>
                <w:rFonts w:ascii="仿宋_GB2312" w:hAnsi="Arial" w:eastAsia="仿宋_GB2312" w:cs="仿宋_GB2312"/>
                <w:color w:val="000000"/>
                <w:sz w:val="24"/>
                <w:szCs w:val="24"/>
              </w:rPr>
            </w:pPr>
            <w:r>
              <w:rPr>
                <w:rFonts w:ascii="仿宋_GB2312" w:hAnsi="Arial" w:eastAsia="仿宋_GB2312" w:cs="仿宋_GB2312"/>
                <w:color w:val="000000"/>
                <w:sz w:val="24"/>
                <w:szCs w:val="24"/>
              </w:rPr>
              <w:t>B</w:t>
            </w:r>
            <w:r>
              <w:rPr>
                <w:rFonts w:hint="eastAsia" w:ascii="仿宋_GB2312" w:hAnsi="Arial" w:eastAsia="仿宋_GB2312" w:cs="仿宋_GB2312"/>
                <w:color w:val="000000"/>
                <w:sz w:val="24"/>
                <w:szCs w:val="24"/>
              </w:rPr>
              <w:t>级护理</w:t>
            </w:r>
            <w:r>
              <w:rPr>
                <w:rFonts w:ascii="仿宋_GB2312" w:hAnsi="Arial" w:eastAsia="仿宋_GB2312" w:cs="仿宋_GB2312"/>
                <w:color w:val="000000"/>
                <w:sz w:val="24"/>
                <w:szCs w:val="24"/>
              </w:rPr>
              <w:t xml:space="preserve">                     </w:t>
            </w:r>
            <w:r>
              <w:rPr>
                <w:rFonts w:hint="eastAsia" w:ascii="仿宋_GB2312" w:hAnsi="Arial" w:eastAsia="仿宋_GB2312" w:cs="仿宋_GB2312"/>
                <w:color w:val="000000"/>
                <w:sz w:val="24"/>
                <w:szCs w:val="24"/>
              </w:rPr>
              <w:t>（一对一）</w:t>
            </w:r>
          </w:p>
        </w:tc>
        <w:tc>
          <w:tcPr>
            <w:tcW w:w="0" w:type="auto"/>
            <w:tcBorders>
              <w:top w:val="single" w:color="auto" w:sz="6" w:space="0"/>
              <w:left w:val="single" w:color="auto" w:sz="6" w:space="0"/>
              <w:bottom w:val="single" w:color="auto" w:sz="6" w:space="0"/>
              <w:right w:val="single" w:color="auto" w:sz="6" w:space="0"/>
            </w:tcBorders>
          </w:tcPr>
          <w:p w14:paraId="3686DC68">
            <w:pPr>
              <w:widowControl w:val="0"/>
              <w:autoSpaceDE w:val="0"/>
              <w:autoSpaceDN w:val="0"/>
              <w:snapToGrid/>
              <w:spacing w:after="0"/>
              <w:rPr>
                <w:rFonts w:ascii="仿宋_GB2312" w:hAnsi="Arial" w:eastAsia="仿宋_GB2312" w:cs="仿宋_GB2312"/>
                <w:color w:val="000000"/>
                <w:sz w:val="24"/>
                <w:szCs w:val="24"/>
              </w:rPr>
            </w:pPr>
            <w:r>
              <w:rPr>
                <w:rFonts w:hint="eastAsia" w:ascii="仿宋_GB2312" w:hAnsi="Arial" w:eastAsia="仿宋_GB2312" w:cs="仿宋_GB2312"/>
                <w:color w:val="000000"/>
                <w:sz w:val="24"/>
                <w:szCs w:val="24"/>
              </w:rPr>
              <w:t>生活基本不能自理患者（需协助如厕）</w:t>
            </w:r>
          </w:p>
        </w:tc>
        <w:tc>
          <w:tcPr>
            <w:tcW w:w="0" w:type="auto"/>
            <w:tcBorders>
              <w:top w:val="single" w:color="auto" w:sz="6" w:space="0"/>
              <w:left w:val="single" w:color="auto" w:sz="6" w:space="0"/>
              <w:bottom w:val="single" w:color="auto" w:sz="6" w:space="0"/>
              <w:right w:val="single" w:color="auto" w:sz="6" w:space="0"/>
            </w:tcBorders>
          </w:tcPr>
          <w:p w14:paraId="6EC263C9">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1.</w:t>
            </w:r>
            <w:r>
              <w:rPr>
                <w:rFonts w:hint="eastAsia" w:ascii="仿宋_GB2312" w:hAnsi="Arial" w:eastAsia="仿宋_GB2312" w:cs="仿宋_GB2312"/>
                <w:color w:val="000000"/>
                <w:sz w:val="24"/>
                <w:szCs w:val="24"/>
              </w:rPr>
              <w:t>保证病室整洁：整理床单位、协助将患者个人用物摆放整齐，床下尿壶、便盆等不落地。</w:t>
            </w:r>
          </w:p>
          <w:p w14:paraId="327B0657">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2.</w:t>
            </w:r>
            <w:r>
              <w:rPr>
                <w:rFonts w:hint="eastAsia" w:ascii="仿宋_GB2312" w:hAnsi="Arial" w:eastAsia="仿宋_GB2312" w:cs="仿宋_GB2312"/>
                <w:color w:val="000000"/>
                <w:sz w:val="24"/>
                <w:szCs w:val="24"/>
              </w:rPr>
              <w:t>保证患者清洁：协助患者洗漱、擦身、更换衣裤、洗头、修剪指甲、剃胡须，</w:t>
            </w:r>
            <w:r>
              <w:rPr>
                <w:rFonts w:hint="eastAsia" w:ascii="仿宋_GB2312" w:hAnsi="Arial" w:eastAsia="仿宋_GB2312" w:cs="仿宋_GB2312"/>
                <w:b/>
                <w:bCs/>
                <w:color w:val="000000"/>
                <w:sz w:val="24"/>
                <w:szCs w:val="24"/>
              </w:rPr>
              <w:t>为二便失禁患者做好会阴部、肛周的清洁。</w:t>
            </w:r>
          </w:p>
          <w:p w14:paraId="34AEF5DF">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3.</w:t>
            </w:r>
            <w:r>
              <w:rPr>
                <w:rFonts w:hint="eastAsia" w:ascii="仿宋_GB2312" w:hAnsi="Arial" w:eastAsia="仿宋_GB2312" w:cs="仿宋_GB2312"/>
                <w:color w:val="000000"/>
                <w:sz w:val="24"/>
                <w:szCs w:val="24"/>
              </w:rPr>
              <w:t>促进患者舒适：协助患者打饭、进食、饮水，协助患者翻身、拍背。</w:t>
            </w:r>
          </w:p>
          <w:p w14:paraId="371B43AE">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4.</w:t>
            </w:r>
            <w:r>
              <w:rPr>
                <w:rFonts w:hint="eastAsia" w:ascii="仿宋_GB2312" w:hAnsi="Arial" w:eastAsia="仿宋_GB2312" w:cs="仿宋_GB2312"/>
                <w:color w:val="000000"/>
                <w:sz w:val="24"/>
                <w:szCs w:val="24"/>
              </w:rPr>
              <w:t>维护患者安全：协助患者</w:t>
            </w:r>
            <w:r>
              <w:rPr>
                <w:rFonts w:hint="eastAsia" w:ascii="仿宋_GB2312" w:hAnsi="Arial" w:eastAsia="仿宋_GB2312" w:cs="仿宋_GB2312"/>
                <w:b/>
                <w:bCs/>
                <w:color w:val="000000"/>
                <w:sz w:val="24"/>
                <w:szCs w:val="24"/>
              </w:rPr>
              <w:t>如厕</w:t>
            </w:r>
            <w:r>
              <w:rPr>
                <w:rFonts w:hint="eastAsia" w:ascii="仿宋_GB2312" w:hAnsi="Arial" w:eastAsia="仿宋_GB2312" w:cs="仿宋_GB2312"/>
                <w:color w:val="000000"/>
                <w:sz w:val="24"/>
                <w:szCs w:val="24"/>
              </w:rPr>
              <w:t>、床椅移动、协助患者使用轮椅、平车等转运工具。</w:t>
            </w:r>
          </w:p>
          <w:p w14:paraId="2C00319F">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5.</w:t>
            </w:r>
            <w:r>
              <w:rPr>
                <w:rFonts w:ascii="仿宋_GB2312" w:hAnsi="Arial" w:eastAsia="仿宋_GB2312" w:cs="仿宋_GB2312"/>
                <w:b/>
                <w:bCs/>
                <w:color w:val="000000"/>
                <w:sz w:val="24"/>
                <w:szCs w:val="24"/>
              </w:rPr>
              <w:t>24</w:t>
            </w:r>
            <w:r>
              <w:rPr>
                <w:rFonts w:hint="eastAsia" w:ascii="仿宋_GB2312" w:hAnsi="Arial" w:eastAsia="仿宋_GB2312" w:cs="仿宋_GB2312"/>
                <w:b/>
                <w:bCs/>
                <w:color w:val="000000"/>
                <w:sz w:val="24"/>
                <w:szCs w:val="24"/>
              </w:rPr>
              <w:t>小时陪护，</w:t>
            </w:r>
            <w:r>
              <w:rPr>
                <w:rFonts w:hint="eastAsia" w:ascii="仿宋_GB2312" w:hAnsi="Arial" w:eastAsia="仿宋_GB2312" w:cs="仿宋_GB2312"/>
                <w:color w:val="000000"/>
                <w:sz w:val="24"/>
                <w:szCs w:val="24"/>
              </w:rPr>
              <w:t>在医护人员的指导下，注意患者病情、输液情况的观察、保持各管路通畅，发现异常及时告知医护人员。</w:t>
            </w:r>
          </w:p>
          <w:p w14:paraId="1E7C5836">
            <w:pPr>
              <w:widowControl w:val="0"/>
              <w:autoSpaceDE w:val="0"/>
              <w:autoSpaceDN w:val="0"/>
              <w:snapToGrid/>
              <w:spacing w:after="0"/>
              <w:rPr>
                <w:rFonts w:ascii="仿宋_GB2312" w:hAnsi="Arial" w:eastAsia="仿宋_GB2312" w:cs="仿宋_GB2312"/>
                <w:b/>
                <w:bCs/>
                <w:color w:val="000000"/>
                <w:sz w:val="24"/>
                <w:szCs w:val="24"/>
              </w:rPr>
            </w:pPr>
            <w:r>
              <w:rPr>
                <w:rFonts w:ascii="仿宋_GB2312" w:hAnsi="Arial" w:eastAsia="仿宋_GB2312" w:cs="仿宋_GB2312"/>
                <w:b/>
                <w:bCs/>
                <w:color w:val="000000"/>
                <w:sz w:val="24"/>
                <w:szCs w:val="24"/>
              </w:rPr>
              <w:t>6.</w:t>
            </w:r>
            <w:r>
              <w:rPr>
                <w:rFonts w:hint="eastAsia" w:ascii="仿宋_GB2312" w:hAnsi="Arial" w:eastAsia="仿宋_GB2312" w:cs="仿宋_GB2312"/>
                <w:b/>
                <w:bCs/>
                <w:color w:val="000000"/>
                <w:sz w:val="24"/>
                <w:szCs w:val="24"/>
              </w:rPr>
              <w:t>陪同患者进行相关检查。</w:t>
            </w:r>
          </w:p>
        </w:tc>
        <w:tc>
          <w:tcPr>
            <w:tcW w:w="904" w:type="dxa"/>
            <w:tcBorders>
              <w:top w:val="single" w:color="auto" w:sz="6" w:space="0"/>
              <w:left w:val="single" w:color="auto" w:sz="6" w:space="0"/>
              <w:bottom w:val="single" w:color="auto" w:sz="6" w:space="0"/>
              <w:right w:val="single" w:color="auto" w:sz="6" w:space="0"/>
            </w:tcBorders>
          </w:tcPr>
          <w:p w14:paraId="2350D2FB">
            <w:pPr>
              <w:widowControl w:val="0"/>
              <w:autoSpaceDE w:val="0"/>
              <w:autoSpaceDN w:val="0"/>
              <w:snapToGrid/>
              <w:spacing w:after="0"/>
              <w:rPr>
                <w:rFonts w:ascii="仿宋_GB2312" w:hAnsi="Arial" w:eastAsia="仿宋_GB2312" w:cs="仿宋_GB2312"/>
                <w:color w:val="000000"/>
                <w:sz w:val="24"/>
                <w:szCs w:val="24"/>
              </w:rPr>
            </w:pPr>
            <w:r>
              <w:rPr>
                <w:rFonts w:hint="eastAsia" w:ascii="仿宋_GB2312" w:hAnsi="Arial" w:eastAsia="仿宋_GB2312" w:cs="仿宋_GB2312"/>
                <w:color w:val="000000"/>
                <w:sz w:val="24"/>
                <w:szCs w:val="24"/>
              </w:rPr>
              <w:t>2</w:t>
            </w:r>
            <w:r>
              <w:rPr>
                <w:rFonts w:hint="eastAsia" w:ascii="仿宋_GB2312" w:hAnsi="Arial" w:eastAsia="仿宋_GB2312" w:cs="仿宋_GB2312"/>
                <w:color w:val="000000"/>
                <w:sz w:val="24"/>
                <w:szCs w:val="24"/>
                <w:lang w:val="en-US" w:eastAsia="zh-CN"/>
              </w:rPr>
              <w:t>30</w:t>
            </w:r>
            <w:r>
              <w:rPr>
                <w:rFonts w:hint="eastAsia" w:ascii="仿宋_GB2312" w:hAnsi="Arial" w:eastAsia="仿宋_GB2312" w:cs="仿宋_GB2312"/>
                <w:color w:val="000000"/>
                <w:sz w:val="24"/>
                <w:szCs w:val="24"/>
              </w:rPr>
              <w:t>元/天</w:t>
            </w:r>
          </w:p>
        </w:tc>
      </w:tr>
      <w:tr w14:paraId="503E1990">
        <w:tblPrEx>
          <w:tblCellMar>
            <w:top w:w="0" w:type="dxa"/>
            <w:left w:w="108" w:type="dxa"/>
            <w:bottom w:w="0" w:type="dxa"/>
            <w:right w:w="108" w:type="dxa"/>
          </w:tblCellMar>
        </w:tblPrEx>
        <w:trPr>
          <w:trHeight w:val="4205" w:hRule="atLeast"/>
        </w:trPr>
        <w:tc>
          <w:tcPr>
            <w:tcW w:w="0" w:type="auto"/>
            <w:tcBorders>
              <w:top w:val="single" w:color="auto" w:sz="6" w:space="0"/>
              <w:left w:val="single" w:color="auto" w:sz="6" w:space="0"/>
              <w:bottom w:val="single" w:color="auto" w:sz="6" w:space="0"/>
              <w:right w:val="single" w:color="auto" w:sz="6" w:space="0"/>
            </w:tcBorders>
          </w:tcPr>
          <w:p w14:paraId="097E238B">
            <w:pPr>
              <w:widowControl w:val="0"/>
              <w:autoSpaceDE w:val="0"/>
              <w:autoSpaceDN w:val="0"/>
              <w:snapToGrid/>
              <w:spacing w:after="0"/>
              <w:jc w:val="center"/>
              <w:rPr>
                <w:rFonts w:ascii="仿宋_GB2312" w:hAnsi="Arial" w:eastAsia="仿宋_GB2312" w:cs="仿宋_GB2312"/>
                <w:color w:val="000000"/>
                <w:sz w:val="24"/>
                <w:szCs w:val="24"/>
              </w:rPr>
            </w:pPr>
            <w:r>
              <w:rPr>
                <w:rFonts w:ascii="仿宋_GB2312" w:hAnsi="Arial" w:eastAsia="仿宋_GB2312" w:cs="仿宋_GB2312"/>
                <w:color w:val="000000"/>
                <w:sz w:val="24"/>
                <w:szCs w:val="24"/>
              </w:rPr>
              <w:t>A</w:t>
            </w:r>
            <w:r>
              <w:rPr>
                <w:rFonts w:hint="eastAsia" w:ascii="仿宋_GB2312" w:hAnsi="Arial" w:eastAsia="仿宋_GB2312" w:cs="仿宋_GB2312"/>
                <w:color w:val="000000"/>
                <w:sz w:val="24"/>
                <w:szCs w:val="24"/>
              </w:rPr>
              <w:t>级护理</w:t>
            </w:r>
            <w:r>
              <w:rPr>
                <w:rFonts w:ascii="仿宋_GB2312" w:hAnsi="Arial" w:eastAsia="仿宋_GB2312" w:cs="仿宋_GB2312"/>
                <w:color w:val="000000"/>
                <w:sz w:val="24"/>
                <w:szCs w:val="24"/>
              </w:rPr>
              <w:t xml:space="preserve">                     </w:t>
            </w:r>
            <w:r>
              <w:rPr>
                <w:rFonts w:hint="eastAsia" w:ascii="仿宋_GB2312" w:hAnsi="Arial" w:eastAsia="仿宋_GB2312" w:cs="仿宋_GB2312"/>
                <w:color w:val="000000"/>
                <w:sz w:val="24"/>
                <w:szCs w:val="24"/>
              </w:rPr>
              <w:t>（一对一）</w:t>
            </w:r>
          </w:p>
        </w:tc>
        <w:tc>
          <w:tcPr>
            <w:tcW w:w="0" w:type="auto"/>
            <w:tcBorders>
              <w:top w:val="single" w:color="auto" w:sz="6" w:space="0"/>
              <w:left w:val="single" w:color="auto" w:sz="6" w:space="0"/>
              <w:bottom w:val="single" w:color="auto" w:sz="6" w:space="0"/>
              <w:right w:val="single" w:color="auto" w:sz="6" w:space="0"/>
            </w:tcBorders>
          </w:tcPr>
          <w:p w14:paraId="47263621">
            <w:pPr>
              <w:widowControl w:val="0"/>
              <w:autoSpaceDE w:val="0"/>
              <w:autoSpaceDN w:val="0"/>
              <w:snapToGrid/>
              <w:spacing w:after="0"/>
              <w:rPr>
                <w:rFonts w:ascii="仿宋_GB2312" w:hAnsi="Arial" w:eastAsia="仿宋_GB2312" w:cs="仿宋_GB2312"/>
                <w:color w:val="000000"/>
                <w:sz w:val="24"/>
                <w:szCs w:val="24"/>
              </w:rPr>
            </w:pPr>
            <w:r>
              <w:rPr>
                <w:rFonts w:hint="eastAsia" w:ascii="仿宋_GB2312" w:hAnsi="Arial" w:eastAsia="仿宋_GB2312" w:cs="仿宋_GB2312"/>
                <w:color w:val="000000"/>
                <w:sz w:val="24"/>
                <w:szCs w:val="24"/>
              </w:rPr>
              <w:t>生活完全不能自理的患者</w:t>
            </w:r>
          </w:p>
        </w:tc>
        <w:tc>
          <w:tcPr>
            <w:tcW w:w="0" w:type="auto"/>
            <w:tcBorders>
              <w:top w:val="single" w:color="auto" w:sz="6" w:space="0"/>
              <w:left w:val="single" w:color="auto" w:sz="6" w:space="0"/>
              <w:bottom w:val="single" w:color="auto" w:sz="6" w:space="0"/>
              <w:right w:val="single" w:color="auto" w:sz="6" w:space="0"/>
            </w:tcBorders>
          </w:tcPr>
          <w:p w14:paraId="1FF77764">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1.</w:t>
            </w:r>
            <w:r>
              <w:rPr>
                <w:rFonts w:hint="eastAsia" w:ascii="仿宋_GB2312" w:hAnsi="Arial" w:eastAsia="仿宋_GB2312" w:cs="仿宋_GB2312"/>
                <w:color w:val="000000"/>
                <w:sz w:val="24"/>
                <w:szCs w:val="24"/>
              </w:rPr>
              <w:t>保证病室整洁：整理床单位、协助将患者个人用物摆放整齐，床下尿壶、便盆等不落地。</w:t>
            </w:r>
          </w:p>
          <w:p w14:paraId="73AC0447">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2.</w:t>
            </w:r>
            <w:r>
              <w:rPr>
                <w:rFonts w:hint="eastAsia" w:ascii="仿宋_GB2312" w:hAnsi="Arial" w:eastAsia="仿宋_GB2312" w:cs="仿宋_GB2312"/>
                <w:color w:val="000000"/>
                <w:sz w:val="24"/>
                <w:szCs w:val="24"/>
              </w:rPr>
              <w:t>保证患者清洁：</w:t>
            </w:r>
            <w:r>
              <w:rPr>
                <w:rFonts w:hint="eastAsia" w:ascii="仿宋_GB2312" w:hAnsi="Arial" w:eastAsia="仿宋_GB2312" w:cs="仿宋_GB2312"/>
                <w:b/>
                <w:bCs/>
                <w:color w:val="000000"/>
                <w:sz w:val="24"/>
                <w:szCs w:val="24"/>
              </w:rPr>
              <w:t>完成</w:t>
            </w:r>
            <w:r>
              <w:rPr>
                <w:rFonts w:hint="eastAsia" w:ascii="仿宋_GB2312" w:hAnsi="Arial" w:eastAsia="仿宋_GB2312" w:cs="仿宋_GB2312"/>
                <w:color w:val="000000"/>
                <w:sz w:val="24"/>
                <w:szCs w:val="24"/>
              </w:rPr>
              <w:t>患者洗漱、擦身、更换衣裤、洗头、修剪指甲、剃胡须，为二便失禁患者做好会阴部、肛周的清洁。</w:t>
            </w:r>
          </w:p>
          <w:p w14:paraId="292D068A">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3.</w:t>
            </w:r>
            <w:r>
              <w:rPr>
                <w:rFonts w:hint="eastAsia" w:ascii="仿宋_GB2312" w:hAnsi="Arial" w:eastAsia="仿宋_GB2312" w:cs="仿宋_GB2312"/>
                <w:color w:val="000000"/>
                <w:sz w:val="24"/>
                <w:szCs w:val="24"/>
              </w:rPr>
              <w:t>促进患者舒适：</w:t>
            </w:r>
            <w:r>
              <w:rPr>
                <w:rFonts w:hint="eastAsia" w:ascii="仿宋_GB2312" w:hAnsi="Arial" w:eastAsia="仿宋_GB2312" w:cs="仿宋_GB2312"/>
                <w:b/>
                <w:bCs/>
                <w:color w:val="000000"/>
                <w:sz w:val="24"/>
                <w:szCs w:val="24"/>
              </w:rPr>
              <w:t>完成</w:t>
            </w:r>
            <w:r>
              <w:rPr>
                <w:rFonts w:hint="eastAsia" w:ascii="仿宋_GB2312" w:hAnsi="Arial" w:eastAsia="仿宋_GB2312" w:cs="仿宋_GB2312"/>
                <w:color w:val="000000"/>
                <w:sz w:val="24"/>
                <w:szCs w:val="24"/>
              </w:rPr>
              <w:t>患者的进食、饮水、翻身、拍背。</w:t>
            </w:r>
          </w:p>
          <w:p w14:paraId="3F60A197">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4.</w:t>
            </w:r>
            <w:r>
              <w:rPr>
                <w:rFonts w:hint="eastAsia" w:ascii="仿宋_GB2312" w:hAnsi="Arial" w:eastAsia="仿宋_GB2312" w:cs="仿宋_GB2312"/>
                <w:color w:val="000000"/>
                <w:sz w:val="24"/>
                <w:szCs w:val="24"/>
              </w:rPr>
              <w:t>维护患者安全：</w:t>
            </w:r>
            <w:r>
              <w:rPr>
                <w:rFonts w:hint="eastAsia" w:ascii="仿宋_GB2312" w:hAnsi="Arial" w:eastAsia="仿宋_GB2312" w:cs="仿宋_GB2312"/>
                <w:b/>
                <w:bCs/>
                <w:color w:val="000000"/>
                <w:sz w:val="24"/>
                <w:szCs w:val="24"/>
              </w:rPr>
              <w:t>为患者完成</w:t>
            </w:r>
            <w:r>
              <w:rPr>
                <w:rFonts w:hint="eastAsia" w:ascii="仿宋_GB2312" w:hAnsi="Arial" w:eastAsia="仿宋_GB2312" w:cs="仿宋_GB2312"/>
                <w:color w:val="000000"/>
                <w:sz w:val="24"/>
                <w:szCs w:val="24"/>
              </w:rPr>
              <w:t>如厕、床椅移动、使用轮椅、平车等转运工具。</w:t>
            </w:r>
          </w:p>
          <w:p w14:paraId="7924064D">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5.</w:t>
            </w:r>
            <w:r>
              <w:rPr>
                <w:rFonts w:ascii="仿宋_GB2312" w:hAnsi="Arial" w:eastAsia="仿宋_GB2312" w:cs="仿宋_GB2312"/>
                <w:b/>
                <w:bCs/>
                <w:color w:val="000000"/>
                <w:sz w:val="24"/>
                <w:szCs w:val="24"/>
              </w:rPr>
              <w:t>24</w:t>
            </w:r>
            <w:r>
              <w:rPr>
                <w:rFonts w:hint="eastAsia" w:ascii="仿宋_GB2312" w:hAnsi="Arial" w:eastAsia="仿宋_GB2312" w:cs="仿宋_GB2312"/>
                <w:b/>
                <w:bCs/>
                <w:color w:val="000000"/>
                <w:sz w:val="24"/>
                <w:szCs w:val="24"/>
              </w:rPr>
              <w:t>小时陪护，</w:t>
            </w:r>
            <w:r>
              <w:rPr>
                <w:rFonts w:hint="eastAsia" w:ascii="仿宋_GB2312" w:hAnsi="Arial" w:eastAsia="仿宋_GB2312" w:cs="仿宋_GB2312"/>
                <w:color w:val="000000"/>
                <w:sz w:val="24"/>
                <w:szCs w:val="24"/>
              </w:rPr>
              <w:t>在医护人员的指导下，注意患者病情、输液情况的观察、保持各管路通畅，发现异常及时告知医护人员。</w:t>
            </w:r>
            <w:r>
              <w:rPr>
                <w:rFonts w:ascii="仿宋_GB2312" w:hAnsi="Arial" w:eastAsia="仿宋_GB2312" w:cs="仿宋_GB2312"/>
                <w:color w:val="000000"/>
                <w:sz w:val="24"/>
                <w:szCs w:val="24"/>
              </w:rPr>
              <w:t xml:space="preserve">                                6</w:t>
            </w:r>
            <w:r>
              <w:rPr>
                <w:rFonts w:ascii="仿宋_GB2312" w:hAnsi="Arial" w:eastAsia="仿宋_GB2312" w:cs="仿宋_GB2312"/>
                <w:b/>
                <w:bCs/>
                <w:color w:val="000000"/>
                <w:sz w:val="24"/>
                <w:szCs w:val="24"/>
              </w:rPr>
              <w:t>.</w:t>
            </w:r>
            <w:r>
              <w:rPr>
                <w:rFonts w:hint="eastAsia" w:ascii="仿宋_GB2312" w:hAnsi="Arial" w:eastAsia="仿宋_GB2312" w:cs="仿宋_GB2312"/>
                <w:b/>
                <w:bCs/>
                <w:color w:val="000000"/>
                <w:sz w:val="24"/>
                <w:szCs w:val="24"/>
              </w:rPr>
              <w:t>陪同患者进行相关检查。</w:t>
            </w:r>
          </w:p>
          <w:p w14:paraId="7612C01D">
            <w:pPr>
              <w:widowControl w:val="0"/>
              <w:autoSpaceDE w:val="0"/>
              <w:autoSpaceDN w:val="0"/>
              <w:snapToGrid/>
              <w:spacing w:after="0"/>
              <w:rPr>
                <w:rFonts w:ascii="仿宋_GB2312" w:hAnsi="Arial" w:eastAsia="仿宋_GB2312" w:cs="仿宋_GB2312"/>
                <w:color w:val="000000"/>
                <w:sz w:val="24"/>
                <w:szCs w:val="24"/>
              </w:rPr>
            </w:pPr>
            <w:r>
              <w:rPr>
                <w:rFonts w:ascii="仿宋_GB2312" w:hAnsi="Arial" w:eastAsia="仿宋_GB2312" w:cs="仿宋_GB2312"/>
                <w:color w:val="000000"/>
                <w:sz w:val="24"/>
                <w:szCs w:val="24"/>
              </w:rPr>
              <w:t xml:space="preserve">    </w:t>
            </w:r>
          </w:p>
        </w:tc>
        <w:tc>
          <w:tcPr>
            <w:tcW w:w="904" w:type="dxa"/>
            <w:tcBorders>
              <w:top w:val="single" w:color="auto" w:sz="6" w:space="0"/>
              <w:left w:val="single" w:color="auto" w:sz="6" w:space="0"/>
              <w:bottom w:val="single" w:color="auto" w:sz="6" w:space="0"/>
              <w:right w:val="single" w:color="auto" w:sz="6" w:space="0"/>
            </w:tcBorders>
          </w:tcPr>
          <w:p w14:paraId="48611A63">
            <w:pPr>
              <w:widowControl w:val="0"/>
              <w:autoSpaceDE w:val="0"/>
              <w:autoSpaceDN w:val="0"/>
              <w:snapToGrid/>
              <w:spacing w:after="0"/>
              <w:rPr>
                <w:rFonts w:ascii="仿宋_GB2312" w:hAnsi="Arial" w:eastAsia="仿宋_GB2312" w:cs="仿宋_GB2312"/>
                <w:color w:val="000000"/>
                <w:sz w:val="24"/>
                <w:szCs w:val="24"/>
              </w:rPr>
            </w:pPr>
            <w:r>
              <w:rPr>
                <w:rFonts w:hint="eastAsia" w:ascii="仿宋_GB2312" w:hAnsi="Arial" w:eastAsia="仿宋_GB2312" w:cs="仿宋_GB2312"/>
                <w:color w:val="000000"/>
                <w:sz w:val="24"/>
                <w:szCs w:val="24"/>
              </w:rPr>
              <w:t>260元/天</w:t>
            </w:r>
          </w:p>
        </w:tc>
      </w:tr>
    </w:tbl>
    <w:p w14:paraId="394DEF84">
      <w:pPr>
        <w:pStyle w:val="2"/>
        <w:rPr>
          <w:highlight w:val="yellow"/>
        </w:rPr>
      </w:pPr>
    </w:p>
    <w:p w14:paraId="476A53E4">
      <w:pPr>
        <w:spacing w:after="156" w:afterLines="50" w:line="468" w:lineRule="exact"/>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供应商需承诺若中标则按照此收费标准执行，否则做无效投标处理。</w:t>
      </w:r>
    </w:p>
    <w:p w14:paraId="55213CE6">
      <w:pPr>
        <w:spacing w:after="156" w:afterLines="50" w:line="468" w:lineRule="exact"/>
        <w:rPr>
          <w:rFonts w:hint="eastAsia" w:asciiTheme="minorEastAsia" w:hAnsiTheme="minorEastAsia" w:eastAsiaTheme="minorEastAsia"/>
          <w:b/>
          <w:bCs/>
          <w:sz w:val="30"/>
          <w:szCs w:val="30"/>
        </w:rPr>
      </w:pPr>
      <w:r>
        <w:rPr>
          <w:rFonts w:hint="eastAsia" w:asciiTheme="minorEastAsia" w:hAnsiTheme="minorEastAsia" w:eastAsiaTheme="minorEastAsia"/>
          <w:b/>
          <w:bCs/>
          <w:sz w:val="30"/>
          <w:szCs w:val="30"/>
        </w:rPr>
        <w:t>三、服务期限及服务地点</w:t>
      </w:r>
    </w:p>
    <w:p w14:paraId="772A330C">
      <w:pPr>
        <w:spacing w:line="360" w:lineRule="auto"/>
        <w:ind w:left="69" w:firstLine="480" w:firstLineChars="200"/>
        <w:rPr>
          <w:rFonts w:hint="eastAsia" w:cs="宋体" w:asciiTheme="minorEastAsia" w:hAnsiTheme="minorEastAsia" w:eastAsiaTheme="minorEastAsia"/>
          <w:sz w:val="24"/>
        </w:rPr>
      </w:pPr>
      <w:r>
        <w:rPr>
          <w:rFonts w:hint="eastAsia" w:cs="宋体" w:asciiTheme="minorEastAsia" w:hAnsiTheme="minorEastAsia" w:eastAsiaTheme="minorEastAsia"/>
          <w:sz w:val="24"/>
        </w:rPr>
        <w:t>1、服务期：1年；</w:t>
      </w:r>
    </w:p>
    <w:p w14:paraId="28F537FD">
      <w:pPr>
        <w:spacing w:line="360" w:lineRule="auto"/>
        <w:ind w:left="69" w:firstLine="480" w:firstLineChars="200"/>
        <w:rPr>
          <w:rFonts w:hint="eastAsia" w:cs="宋体" w:asciiTheme="minorEastAsia" w:hAnsiTheme="minorEastAsia" w:eastAsiaTheme="minorEastAsia"/>
          <w:sz w:val="24"/>
        </w:rPr>
      </w:pPr>
      <w:r>
        <w:rPr>
          <w:rFonts w:hint="eastAsia" w:cs="宋体" w:asciiTheme="minorEastAsia" w:hAnsiTheme="minorEastAsia" w:eastAsiaTheme="minorEastAsia"/>
          <w:sz w:val="24"/>
        </w:rPr>
        <w:t>2、服务地点：</w:t>
      </w:r>
      <w:r>
        <w:rPr>
          <w:rFonts w:hint="eastAsia" w:cs="宋体" w:asciiTheme="minorEastAsia" w:hAnsiTheme="minorEastAsia" w:eastAsiaTheme="minorEastAsia"/>
          <w:sz w:val="24"/>
          <w:u w:val="single"/>
        </w:rPr>
        <w:t>福建省肿瘤医院</w:t>
      </w:r>
    </w:p>
    <w:p w14:paraId="5768848A">
      <w:pPr>
        <w:spacing w:after="156" w:afterLines="50" w:line="468" w:lineRule="exact"/>
        <w:rPr>
          <w:rFonts w:hint="eastAsia" w:asciiTheme="minorEastAsia" w:hAnsiTheme="minorEastAsia" w:eastAsiaTheme="minorEastAsia"/>
          <w:b/>
          <w:bCs/>
          <w:sz w:val="30"/>
          <w:szCs w:val="30"/>
        </w:rPr>
      </w:pPr>
      <w:bookmarkStart w:id="2" w:name="_Toc146679650"/>
      <w:bookmarkStart w:id="3" w:name="_Toc168037533"/>
      <w:bookmarkStart w:id="4" w:name="_Toc89791596"/>
      <w:bookmarkStart w:id="5" w:name="_Toc169944023"/>
      <w:bookmarkStart w:id="6" w:name="_Toc145393563"/>
      <w:bookmarkStart w:id="7" w:name="_Toc14191"/>
      <w:bookmarkStart w:id="8" w:name="_Toc116869901"/>
      <w:bookmarkStart w:id="9" w:name="_Toc146679241"/>
      <w:bookmarkStart w:id="10" w:name="_Toc150852805"/>
      <w:bookmarkStart w:id="11" w:name="_Toc148496402"/>
      <w:bookmarkStart w:id="12" w:name="_Toc148496351"/>
      <w:bookmarkStart w:id="13" w:name="_Toc116895408"/>
      <w:bookmarkStart w:id="14" w:name="_Toc144818372"/>
      <w:bookmarkStart w:id="15" w:name="_Toc483588242"/>
      <w:bookmarkStart w:id="16" w:name="_Toc141847066"/>
      <w:bookmarkStart w:id="17" w:name="_Toc105315000"/>
      <w:bookmarkStart w:id="18" w:name="_Toc189832470"/>
      <w:bookmarkStart w:id="19" w:name="_Toc169877476"/>
      <w:bookmarkStart w:id="20" w:name="_Toc150163485"/>
      <w:bookmarkStart w:id="21" w:name="_Toc90180873"/>
      <w:bookmarkStart w:id="22" w:name="_Toc89791698"/>
      <w:bookmarkStart w:id="23" w:name="_Toc152583389"/>
      <w:bookmarkStart w:id="24" w:name="_Toc36974051"/>
      <w:bookmarkStart w:id="25" w:name="_Toc36973198"/>
      <w:bookmarkStart w:id="26" w:name="_Toc36974289"/>
      <w:bookmarkStart w:id="27" w:name="_Toc36974340"/>
      <w:bookmarkStart w:id="28" w:name="_Toc36973985"/>
      <w:bookmarkStart w:id="29" w:name="_Toc32815547"/>
      <w:bookmarkStart w:id="30" w:name="_Toc37236847"/>
      <w:bookmarkStart w:id="31" w:name="_Toc36974207"/>
      <w:bookmarkStart w:id="32" w:name="_Toc34471344"/>
      <w:bookmarkStart w:id="33" w:name="_Toc36885854"/>
      <w:bookmarkStart w:id="34" w:name="_Toc36867048"/>
      <w:r>
        <w:rPr>
          <w:rFonts w:hint="eastAsia" w:asciiTheme="minorEastAsia" w:hAnsiTheme="minorEastAsia" w:eastAsiaTheme="minorEastAsia"/>
          <w:b/>
          <w:bCs/>
          <w:sz w:val="30"/>
          <w:szCs w:val="30"/>
        </w:rPr>
        <w:t>四、报价要求</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5FB19333">
      <w:pPr>
        <w:tabs>
          <w:tab w:val="left" w:pos="5130"/>
        </w:tabs>
        <w:spacing w:line="360" w:lineRule="auto"/>
        <w:ind w:left="69"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1、本次招标不涉及报价，供应商按照采购要求对服务收费标准进行承诺。</w:t>
      </w:r>
    </w:p>
    <w:bookmarkEnd w:id="24"/>
    <w:bookmarkEnd w:id="25"/>
    <w:bookmarkEnd w:id="26"/>
    <w:bookmarkEnd w:id="27"/>
    <w:bookmarkEnd w:id="28"/>
    <w:bookmarkEnd w:id="29"/>
    <w:bookmarkEnd w:id="30"/>
    <w:bookmarkEnd w:id="31"/>
    <w:bookmarkEnd w:id="32"/>
    <w:bookmarkEnd w:id="33"/>
    <w:bookmarkEnd w:id="34"/>
    <w:p w14:paraId="03808060">
      <w:pPr>
        <w:spacing w:after="156" w:afterLines="50" w:line="468" w:lineRule="exact"/>
        <w:rPr>
          <w:rFonts w:hint="eastAsia" w:asciiTheme="minorEastAsia" w:hAnsiTheme="minorEastAsia" w:eastAsiaTheme="minorEastAsia"/>
          <w:b/>
          <w:bCs/>
          <w:sz w:val="30"/>
          <w:szCs w:val="30"/>
        </w:rPr>
      </w:pPr>
      <w:bookmarkStart w:id="35" w:name="_Toc521311776"/>
      <w:r>
        <w:rPr>
          <w:rFonts w:hint="eastAsia" w:asciiTheme="minorEastAsia" w:hAnsiTheme="minorEastAsia" w:eastAsiaTheme="minorEastAsia"/>
          <w:b/>
          <w:bCs/>
          <w:sz w:val="30"/>
          <w:szCs w:val="30"/>
        </w:rPr>
        <w:t>五、追责条款</w:t>
      </w:r>
    </w:p>
    <w:p w14:paraId="73C99B85">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护理员陪护期间如果有偷窃及猥亵病人等违法行为，一律报警追究法律责任；与客户发生纠纷或自身工作失误给客户造成损失如造成病人摔伤、烫伤、坠床、走失等意外伤害或其他医疗纠纷时，均由中标人与客户自行处理，中标人应承担一切赔偿责任及其产生的法律后果，采购人不承担纠纷处理义务和任何法律责任。中标供应商人员无论是在工作当中或者是上下班途中的人身安全均由中标人自行负责，如果发生意外与采购人无关。</w:t>
      </w:r>
    </w:p>
    <w:p w14:paraId="1860237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 中标供应商人员在采购人指导下做好疫情防控工作，中标供应商人员违反规定造成疫情扩散，中标供应商承担一切后果。</w:t>
      </w:r>
    </w:p>
    <w:p w14:paraId="3B3C9612">
      <w:pPr>
        <w:spacing w:line="360" w:lineRule="auto"/>
        <w:ind w:left="68"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3.如果中标供应商达不到采购人提出的服务要求，采购人有权要求中标供应商在一个月内完成整改，中标供应商整改无成效的，采购人有权单方面解除合同，造成采购人经济损失的，中标供应商应负责赔偿采购人。</w:t>
      </w:r>
    </w:p>
    <w:p w14:paraId="1E55F939">
      <w:pPr>
        <w:spacing w:line="360" w:lineRule="auto"/>
        <w:ind w:left="68" w:firstLine="480" w:firstLineChars="20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为了保障护理员工作质量，中标人应向采购人提供不少于5万元的履约保证金，如果中标人在合同期内考核合格，合同期满退回本金，如果中标方人员出现违法违规行为，院方有权按照一次500-2000元范围内扣罚保证金，保证金扣完时采购人有权解除合同。</w:t>
      </w:r>
    </w:p>
    <w:p w14:paraId="6346BA86">
      <w:pPr>
        <w:pStyle w:val="5"/>
        <w:tabs>
          <w:tab w:val="left" w:pos="308"/>
        </w:tabs>
        <w:spacing w:before="0" w:after="0" w:line="360" w:lineRule="auto"/>
        <w:rPr>
          <w:rFonts w:hint="eastAsia" w:cs="宋体" w:asciiTheme="minorEastAsia" w:hAnsiTheme="minorEastAsia" w:eastAsiaTheme="minorEastAsia"/>
          <w:color w:val="auto"/>
          <w:szCs w:val="28"/>
        </w:rPr>
      </w:pPr>
      <w:r>
        <w:rPr>
          <w:rFonts w:hint="eastAsia" w:cs="宋体" w:asciiTheme="minorEastAsia" w:hAnsiTheme="minorEastAsia" w:eastAsiaTheme="minorEastAsia"/>
          <w:color w:val="auto"/>
          <w:szCs w:val="28"/>
        </w:rPr>
        <w:t>六、验收条件及标准</w:t>
      </w:r>
    </w:p>
    <w:p w14:paraId="2B6E9713">
      <w:pPr>
        <w:spacing w:line="360" w:lineRule="auto"/>
        <w:ind w:left="69" w:firstLine="480" w:firstLineChars="200"/>
        <w:rPr>
          <w:rFonts w:hint="eastAsia" w:cs="宋体" w:asciiTheme="minorEastAsia" w:hAnsiTheme="minorEastAsia" w:eastAsiaTheme="minorEastAsia"/>
          <w:sz w:val="24"/>
        </w:rPr>
      </w:pPr>
      <w:r>
        <w:rPr>
          <w:rFonts w:hint="eastAsia" w:cs="宋体" w:asciiTheme="minorEastAsia" w:hAnsiTheme="minorEastAsia" w:eastAsiaTheme="minorEastAsia"/>
          <w:sz w:val="24"/>
        </w:rPr>
        <w:t>1、验收方式：中标供应商</w:t>
      </w:r>
      <w:r>
        <w:rPr>
          <w:rFonts w:hint="eastAsia" w:asciiTheme="minorEastAsia" w:hAnsiTheme="minorEastAsia" w:eastAsiaTheme="minorEastAsia"/>
          <w:bCs/>
          <w:sz w:val="24"/>
        </w:rPr>
        <w:t>工作人员考核应严格按照采购人的要求，采购人根据工作人员具体从事的事务工作质量、效率进行评议，不定期出具考核意见，如被评为不合格，成交供应商应按采购人要求在5日内更换人员，所产生的费用由成交供应商自行承担。</w:t>
      </w:r>
    </w:p>
    <w:p w14:paraId="297F2764">
      <w:pPr>
        <w:spacing w:line="360" w:lineRule="auto"/>
        <w:ind w:left="69" w:firstLine="480" w:firstLineChars="200"/>
        <w:rPr>
          <w:rFonts w:hint="eastAsia" w:cs="Arial" w:asciiTheme="minorEastAsia" w:hAnsiTheme="minorEastAsia" w:eastAsiaTheme="minorEastAsia"/>
          <w:sz w:val="24"/>
          <w:highlight w:val="yellow"/>
        </w:rPr>
      </w:pPr>
      <w:r>
        <w:rPr>
          <w:rFonts w:hint="eastAsia" w:cs="Arial" w:asciiTheme="minorEastAsia" w:hAnsiTheme="minorEastAsia" w:eastAsiaTheme="minorEastAsia"/>
          <w:sz w:val="24"/>
        </w:rPr>
        <w:t>2、验收依据：</w:t>
      </w:r>
      <w:r>
        <w:rPr>
          <w:rFonts w:hint="eastAsia" w:cs="宋体" w:asciiTheme="minorEastAsia" w:hAnsiTheme="minorEastAsia" w:eastAsiaTheme="minorEastAsia"/>
          <w:sz w:val="24"/>
        </w:rPr>
        <w:t>招标文件、投标文件、技术标准说明及国家有关的质量标准规定，均为验收依据。</w:t>
      </w:r>
    </w:p>
    <w:p w14:paraId="0E16F33C">
      <w:pPr>
        <w:spacing w:line="360" w:lineRule="auto"/>
        <w:ind w:left="69" w:firstLine="480" w:firstLineChars="200"/>
        <w:rPr>
          <w:rFonts w:hint="eastAsia" w:cs="Arial" w:asciiTheme="minorEastAsia" w:hAnsiTheme="minorEastAsia" w:eastAsiaTheme="minorEastAsia"/>
          <w:sz w:val="24"/>
        </w:rPr>
      </w:pPr>
      <w:r>
        <w:rPr>
          <w:rFonts w:hint="eastAsia" w:cs="Arial" w:asciiTheme="minorEastAsia" w:hAnsiTheme="minorEastAsia" w:eastAsiaTheme="minorEastAsia"/>
          <w:sz w:val="24"/>
          <w:lang w:val="en-US" w:eastAsia="zh-CN"/>
        </w:rPr>
        <w:t>3</w:t>
      </w:r>
      <w:r>
        <w:rPr>
          <w:rFonts w:hint="eastAsia" w:cs="Arial" w:asciiTheme="minorEastAsia" w:hAnsiTheme="minorEastAsia" w:eastAsiaTheme="minorEastAsia"/>
          <w:sz w:val="24"/>
        </w:rPr>
        <w:t>、验收过程所发生的一切费用由中标供应商承担。</w:t>
      </w:r>
    </w:p>
    <w:bookmarkEnd w:id="35"/>
    <w:p w14:paraId="262AEEF7">
      <w:pPr>
        <w:pStyle w:val="45"/>
        <w:rPr>
          <w:rFonts w:cs="宋体" w:asciiTheme="minorEastAsia" w:hAnsiTheme="minorEastAsia" w:eastAsiaTheme="minorEastAsia"/>
          <w:b/>
          <w:sz w:val="36"/>
          <w:szCs w:val="36"/>
        </w:rPr>
      </w:pPr>
      <w:r>
        <w:rPr>
          <w:rFonts w:cs="宋体" w:asciiTheme="minorEastAsia" w:hAnsiTheme="minorEastAsia" w:eastAsiaTheme="minorEastAsia"/>
          <w:b/>
          <w:sz w:val="36"/>
          <w:szCs w:val="36"/>
        </w:rPr>
        <w:t>二、评分办法</w:t>
      </w:r>
    </w:p>
    <w:tbl>
      <w:tblPr>
        <w:tblStyle w:val="20"/>
        <w:tblpPr w:leftFromText="180" w:rightFromText="180" w:vertAnchor="text" w:horzAnchor="page" w:tblpXSpec="center" w:tblpY="6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6"/>
        <w:gridCol w:w="526"/>
      </w:tblGrid>
      <w:tr w14:paraId="6435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trPr>
        <w:tc>
          <w:tcPr>
            <w:tcW w:w="0" w:type="auto"/>
            <w:tcBorders>
              <w:top w:val="single" w:color="auto" w:sz="4" w:space="0"/>
              <w:left w:val="single" w:color="auto" w:sz="4" w:space="0"/>
              <w:bottom w:val="single" w:color="auto" w:sz="4" w:space="0"/>
              <w:right w:val="single" w:color="auto" w:sz="4" w:space="0"/>
            </w:tcBorders>
            <w:vAlign w:val="center"/>
          </w:tcPr>
          <w:p w14:paraId="66875241">
            <w:pPr>
              <w:pStyle w:val="45"/>
              <w:jc w:val="both"/>
              <w:rPr>
                <w:rFonts w:asciiTheme="minorEastAsia" w:hAnsiTheme="minorEastAsia" w:eastAsiaTheme="minorEastAsia"/>
                <w:b/>
                <w:bCs/>
                <w:sz w:val="26"/>
                <w:szCs w:val="26"/>
              </w:rPr>
            </w:pPr>
            <w:r>
              <w:rPr>
                <w:rFonts w:asciiTheme="minorEastAsia" w:hAnsiTheme="minorEastAsia" w:eastAsiaTheme="minorEastAsia"/>
                <w:b/>
                <w:bCs/>
                <w:sz w:val="26"/>
                <w:szCs w:val="26"/>
              </w:rPr>
              <w:t>评分因素及细则</w:t>
            </w:r>
          </w:p>
        </w:tc>
        <w:tc>
          <w:tcPr>
            <w:tcW w:w="0" w:type="auto"/>
            <w:tcBorders>
              <w:top w:val="single" w:color="auto" w:sz="4" w:space="0"/>
              <w:left w:val="single" w:color="auto" w:sz="4" w:space="0"/>
              <w:bottom w:val="single" w:color="auto" w:sz="4" w:space="0"/>
              <w:right w:val="single" w:color="auto" w:sz="4" w:space="0"/>
            </w:tcBorders>
            <w:vAlign w:val="center"/>
          </w:tcPr>
          <w:p w14:paraId="706B6CB0">
            <w:pPr>
              <w:pStyle w:val="45"/>
              <w:rPr>
                <w:rFonts w:asciiTheme="minorEastAsia" w:hAnsiTheme="minorEastAsia" w:eastAsiaTheme="minorEastAsia"/>
                <w:b/>
                <w:bCs/>
                <w:sz w:val="26"/>
                <w:szCs w:val="26"/>
              </w:rPr>
            </w:pPr>
            <w:r>
              <w:rPr>
                <w:rFonts w:asciiTheme="minorEastAsia" w:hAnsiTheme="minorEastAsia" w:eastAsiaTheme="minorEastAsia"/>
                <w:b/>
                <w:bCs/>
                <w:sz w:val="26"/>
                <w:szCs w:val="26"/>
              </w:rPr>
              <w:t>满分</w:t>
            </w:r>
          </w:p>
        </w:tc>
      </w:tr>
      <w:tr w14:paraId="07D1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0" w:type="auto"/>
            <w:tcBorders>
              <w:top w:val="single" w:color="auto" w:sz="4" w:space="0"/>
              <w:left w:val="single" w:color="auto" w:sz="4" w:space="0"/>
              <w:bottom w:val="single" w:color="auto" w:sz="4" w:space="0"/>
              <w:right w:val="single" w:color="auto" w:sz="4" w:space="0"/>
            </w:tcBorders>
            <w:vAlign w:val="center"/>
          </w:tcPr>
          <w:p w14:paraId="7548F4FD">
            <w:pPr>
              <w:pStyle w:val="45"/>
              <w:jc w:val="both"/>
              <w:rPr>
                <w:rFonts w:asciiTheme="minorEastAsia" w:hAnsiTheme="minorEastAsia" w:eastAsiaTheme="minorEastAsia"/>
                <w:b/>
                <w:bCs/>
                <w:sz w:val="26"/>
                <w:szCs w:val="26"/>
              </w:rPr>
            </w:pPr>
            <w:r>
              <w:rPr>
                <w:rFonts w:asciiTheme="minorEastAsia" w:hAnsiTheme="minorEastAsia" w:eastAsiaTheme="minorEastAsia"/>
                <w:bCs/>
                <w:sz w:val="26"/>
                <w:szCs w:val="26"/>
              </w:rPr>
              <w:t>技术项（F2×A2）满分为7</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.00分</w:t>
            </w:r>
          </w:p>
        </w:tc>
        <w:tc>
          <w:tcPr>
            <w:tcW w:w="0" w:type="auto"/>
            <w:tcBorders>
              <w:top w:val="single" w:color="auto" w:sz="4" w:space="0"/>
              <w:left w:val="single" w:color="auto" w:sz="4" w:space="0"/>
              <w:bottom w:val="single" w:color="auto" w:sz="4" w:space="0"/>
              <w:right w:val="single" w:color="auto" w:sz="4" w:space="0"/>
            </w:tcBorders>
            <w:vAlign w:val="center"/>
          </w:tcPr>
          <w:p w14:paraId="0AEB8174">
            <w:pPr>
              <w:pStyle w:val="45"/>
              <w:rPr>
                <w:rFonts w:asciiTheme="minorEastAsia" w:hAnsiTheme="minorEastAsia" w:eastAsiaTheme="minorEastAsia"/>
                <w:b/>
                <w:bCs/>
                <w:sz w:val="26"/>
                <w:szCs w:val="26"/>
              </w:rPr>
            </w:pPr>
          </w:p>
        </w:tc>
      </w:tr>
      <w:tr w14:paraId="0599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0" w:type="auto"/>
            <w:tcBorders>
              <w:top w:val="single" w:color="auto" w:sz="4" w:space="0"/>
              <w:left w:val="single" w:color="auto" w:sz="4" w:space="0"/>
              <w:bottom w:val="single" w:color="auto" w:sz="4" w:space="0"/>
              <w:right w:val="single" w:color="auto" w:sz="4" w:space="0"/>
            </w:tcBorders>
            <w:vAlign w:val="center"/>
          </w:tcPr>
          <w:p w14:paraId="77E4C08C">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T1、根据投标人制定的项目整体服务方案进行评价：</w:t>
            </w:r>
          </w:p>
          <w:p w14:paraId="46F2BBE6">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制定的服务方案至少包含服务思路、服务定位、各项管理内容，方案能够满足本项目需求的得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.8分；提出有针对性的管理设想，分析项目重点难点，并提出应对管理措施，包括防止院内交叉感染措施、质量控制措施等，有助于提升本项目服务的得</w:t>
            </w:r>
            <w:r>
              <w:rPr>
                <w:rFonts w:hint="eastAsia" w:asciiTheme="minorEastAsia" w:hAnsiTheme="minorEastAsia" w:eastAsiaTheme="minorEastAsia"/>
                <w:bCs/>
                <w:sz w:val="26"/>
                <w:szCs w:val="26"/>
                <w:lang w:val="en-US" w:eastAsia="zh-CN"/>
              </w:rPr>
              <w:t>3</w:t>
            </w:r>
            <w:r>
              <w:rPr>
                <w:rFonts w:asciiTheme="minorEastAsia" w:hAnsiTheme="minorEastAsia" w:eastAsiaTheme="minorEastAsia"/>
                <w:bCs/>
                <w:sz w:val="26"/>
                <w:szCs w:val="26"/>
              </w:rPr>
              <w:t>分；</w:t>
            </w:r>
          </w:p>
          <w:p w14:paraId="691F511A">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其他情况不得分。</w:t>
            </w:r>
          </w:p>
        </w:tc>
        <w:tc>
          <w:tcPr>
            <w:tcW w:w="0" w:type="auto"/>
            <w:tcBorders>
              <w:top w:val="single" w:color="auto" w:sz="4" w:space="0"/>
              <w:left w:val="single" w:color="auto" w:sz="4" w:space="0"/>
              <w:bottom w:val="single" w:color="auto" w:sz="4" w:space="0"/>
              <w:right w:val="single" w:color="auto" w:sz="4" w:space="0"/>
            </w:tcBorders>
            <w:vAlign w:val="center"/>
          </w:tcPr>
          <w:p w14:paraId="71773785">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4A1B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0" w:type="auto"/>
            <w:tcBorders>
              <w:top w:val="single" w:color="auto" w:sz="4" w:space="0"/>
              <w:left w:val="single" w:color="auto" w:sz="4" w:space="0"/>
              <w:bottom w:val="single" w:color="auto" w:sz="4" w:space="0"/>
              <w:right w:val="single" w:color="auto" w:sz="4" w:space="0"/>
            </w:tcBorders>
            <w:vAlign w:val="center"/>
          </w:tcPr>
          <w:p w14:paraId="7CD142C9">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T2、根据投标人的管理机构及管理制度进行评价：</w:t>
            </w:r>
          </w:p>
          <w:p w14:paraId="1D4F06CC">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制定的人员管理方案至少包含管理机构设置、各部门职责、各类规章制度、保密规定，方案能够满足本项目需求的得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.8分；针对医院情况提出有针对性的管理制度，公司内部成立单独领导小组，并明确相应职责，有助于提升本项目服务的得</w:t>
            </w:r>
            <w:r>
              <w:rPr>
                <w:rFonts w:hint="eastAsia" w:asciiTheme="minorEastAsia" w:hAnsiTheme="minorEastAsia" w:eastAsiaTheme="minorEastAsia"/>
                <w:bCs/>
                <w:sz w:val="26"/>
                <w:szCs w:val="26"/>
                <w:lang w:val="en-US" w:eastAsia="zh-CN"/>
              </w:rPr>
              <w:t>3</w:t>
            </w:r>
            <w:r>
              <w:rPr>
                <w:rFonts w:asciiTheme="minorEastAsia" w:hAnsiTheme="minorEastAsia" w:eastAsiaTheme="minorEastAsia"/>
                <w:bCs/>
                <w:sz w:val="26"/>
                <w:szCs w:val="26"/>
              </w:rPr>
              <w:t>分；</w:t>
            </w:r>
          </w:p>
          <w:p w14:paraId="7BC4844B">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其他情况不得分。</w:t>
            </w:r>
          </w:p>
        </w:tc>
        <w:tc>
          <w:tcPr>
            <w:tcW w:w="0" w:type="auto"/>
            <w:tcBorders>
              <w:top w:val="single" w:color="auto" w:sz="4" w:space="0"/>
              <w:left w:val="single" w:color="auto" w:sz="4" w:space="0"/>
              <w:bottom w:val="single" w:color="auto" w:sz="4" w:space="0"/>
              <w:right w:val="single" w:color="auto" w:sz="4" w:space="0"/>
            </w:tcBorders>
            <w:vAlign w:val="center"/>
          </w:tcPr>
          <w:p w14:paraId="3D142D54">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1BFC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0" w:type="auto"/>
            <w:tcBorders>
              <w:top w:val="single" w:color="auto" w:sz="4" w:space="0"/>
              <w:left w:val="single" w:color="auto" w:sz="4" w:space="0"/>
              <w:bottom w:val="single" w:color="auto" w:sz="4" w:space="0"/>
              <w:right w:val="single" w:color="auto" w:sz="4" w:space="0"/>
            </w:tcBorders>
            <w:vAlign w:val="center"/>
          </w:tcPr>
          <w:p w14:paraId="25DD872F">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T3、根据投标人的人员培训方案进行评价：</w:t>
            </w:r>
          </w:p>
          <w:p w14:paraId="6107AD4A">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制定的人员培训方案至少包含培训计划、培训内容、培训讲师、培训课时安排，方案能够满足本项目需求的得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.8分；培训方案突出培训重难点、并有相应措施，人员安排、课时安排合理有序，有达到预期目标的考核机制，确保培训内容符合项目需求的得</w:t>
            </w:r>
            <w:r>
              <w:rPr>
                <w:rFonts w:hint="eastAsia" w:asciiTheme="minorEastAsia" w:hAnsiTheme="minorEastAsia" w:eastAsiaTheme="minorEastAsia"/>
                <w:bCs/>
                <w:sz w:val="26"/>
                <w:szCs w:val="26"/>
                <w:lang w:val="en-US" w:eastAsia="zh-CN"/>
              </w:rPr>
              <w:t>3</w:t>
            </w:r>
            <w:r>
              <w:rPr>
                <w:rFonts w:asciiTheme="minorEastAsia" w:hAnsiTheme="minorEastAsia" w:eastAsiaTheme="minorEastAsia"/>
                <w:bCs/>
                <w:sz w:val="26"/>
                <w:szCs w:val="26"/>
              </w:rPr>
              <w:t>分；</w:t>
            </w:r>
          </w:p>
          <w:p w14:paraId="7E8FD09D">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其他情况不得分。</w:t>
            </w:r>
          </w:p>
        </w:tc>
        <w:tc>
          <w:tcPr>
            <w:tcW w:w="0" w:type="auto"/>
            <w:tcBorders>
              <w:top w:val="single" w:color="auto" w:sz="4" w:space="0"/>
              <w:left w:val="single" w:color="auto" w:sz="4" w:space="0"/>
              <w:bottom w:val="single" w:color="auto" w:sz="4" w:space="0"/>
              <w:right w:val="single" w:color="auto" w:sz="4" w:space="0"/>
            </w:tcBorders>
            <w:vAlign w:val="center"/>
          </w:tcPr>
          <w:p w14:paraId="6E4303FA">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4F36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438246AF">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T4、根据投标人的人员配备方案进行评价：</w:t>
            </w:r>
          </w:p>
          <w:p w14:paraId="2EFAA6F7">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制定的人员配备方案至少包含人员招聘、人员岗位职责、人员能力要求、人员考核，方案能够满足本项目需求的得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.8分；人员配备方案能确保各类人员配置齐全、科学，人员持有专业上岗证（如健康合格证、上岗/护工合格证/健康照护证等；人员考核有奖罚淘汰制度，有助于提升本项目服务的得</w:t>
            </w:r>
            <w:r>
              <w:rPr>
                <w:rFonts w:hint="eastAsia" w:asciiTheme="minorEastAsia" w:hAnsiTheme="minorEastAsia" w:eastAsiaTheme="minorEastAsia"/>
                <w:bCs/>
                <w:sz w:val="26"/>
                <w:szCs w:val="26"/>
                <w:lang w:val="en-US" w:eastAsia="zh-CN"/>
              </w:rPr>
              <w:t>3</w:t>
            </w:r>
            <w:r>
              <w:rPr>
                <w:rFonts w:asciiTheme="minorEastAsia" w:hAnsiTheme="minorEastAsia" w:eastAsiaTheme="minorEastAsia"/>
                <w:bCs/>
                <w:sz w:val="26"/>
                <w:szCs w:val="26"/>
              </w:rPr>
              <w:t>分；</w:t>
            </w:r>
          </w:p>
          <w:p w14:paraId="60E41889">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其他情况不得分。</w:t>
            </w:r>
          </w:p>
        </w:tc>
        <w:tc>
          <w:tcPr>
            <w:tcW w:w="0" w:type="auto"/>
            <w:tcBorders>
              <w:top w:val="single" w:color="auto" w:sz="4" w:space="0"/>
              <w:left w:val="single" w:color="auto" w:sz="4" w:space="0"/>
              <w:bottom w:val="single" w:color="auto" w:sz="4" w:space="0"/>
              <w:right w:val="single" w:color="auto" w:sz="4" w:space="0"/>
            </w:tcBorders>
            <w:vAlign w:val="center"/>
          </w:tcPr>
          <w:p w14:paraId="298E3290">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5908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7A666E20">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T5、根据投标人的应急突发事件处理预案进行评价：</w:t>
            </w:r>
          </w:p>
          <w:p w14:paraId="5F5AEFD1">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制定的应急预案至少包含日常服务保障措施、各类突发事件的保障措施，方案能够满足本项目需求的得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.8分；制定的方案有结合医院的实际情况，具有针对性，制定有疫情期间服务方案，能有效处理各种突发情况，提升本项目服务的得</w:t>
            </w:r>
            <w:r>
              <w:rPr>
                <w:rFonts w:hint="eastAsia" w:asciiTheme="minorEastAsia" w:hAnsiTheme="minorEastAsia" w:eastAsiaTheme="minorEastAsia"/>
                <w:bCs/>
                <w:sz w:val="26"/>
                <w:szCs w:val="26"/>
                <w:lang w:val="en-US" w:eastAsia="zh-CN"/>
              </w:rPr>
              <w:t>3</w:t>
            </w:r>
            <w:r>
              <w:rPr>
                <w:rFonts w:asciiTheme="minorEastAsia" w:hAnsiTheme="minorEastAsia" w:eastAsiaTheme="minorEastAsia"/>
                <w:bCs/>
                <w:sz w:val="26"/>
                <w:szCs w:val="26"/>
              </w:rPr>
              <w:t>分；</w:t>
            </w:r>
          </w:p>
          <w:p w14:paraId="3F3B22AB">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其他情况不得分。</w:t>
            </w:r>
          </w:p>
        </w:tc>
        <w:tc>
          <w:tcPr>
            <w:tcW w:w="0" w:type="auto"/>
            <w:tcBorders>
              <w:top w:val="single" w:color="auto" w:sz="4" w:space="0"/>
              <w:left w:val="single" w:color="auto" w:sz="4" w:space="0"/>
              <w:bottom w:val="single" w:color="auto" w:sz="4" w:space="0"/>
              <w:right w:val="single" w:color="auto" w:sz="4" w:space="0"/>
            </w:tcBorders>
            <w:vAlign w:val="center"/>
          </w:tcPr>
          <w:p w14:paraId="5AADCFC3">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57CB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6A1811D3">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6、投标人自行选择一种情况制定一天的陪护方案，根据制定的患者服务计划进行评价：服务计划按时间顺序安排患者全天应做事项，对护理员应完成事项内容、标准、质量有明确要求，基本满足医疗护理需求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.8分；有制定患者突发情况处理方案，有提出更高的服务质量标准，列明护理需投入的工具设备的得</w:t>
            </w:r>
            <w:r>
              <w:rPr>
                <w:rFonts w:hint="eastAsia" w:asciiTheme="minorEastAsia" w:hAnsiTheme="minorEastAsia" w:eastAsiaTheme="minorEastAsia"/>
                <w:bCs/>
                <w:sz w:val="26"/>
                <w:szCs w:val="26"/>
                <w:lang w:val="en-US" w:eastAsia="zh-CN"/>
              </w:rPr>
              <w:t>3</w:t>
            </w:r>
            <w:r>
              <w:rPr>
                <w:rFonts w:asciiTheme="minorEastAsia" w:hAnsiTheme="minorEastAsia" w:eastAsiaTheme="minorEastAsia"/>
                <w:bCs/>
                <w:sz w:val="26"/>
                <w:szCs w:val="26"/>
              </w:rPr>
              <w:t>分；否则不得分。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3870BB39">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5408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0" w:type="auto"/>
            <w:tcBorders>
              <w:top w:val="single" w:color="auto" w:sz="4" w:space="0"/>
              <w:left w:val="single" w:color="auto" w:sz="4" w:space="0"/>
              <w:bottom w:val="single" w:color="auto" w:sz="4" w:space="0"/>
              <w:right w:val="single" w:color="auto" w:sz="4" w:space="0"/>
            </w:tcBorders>
            <w:vAlign w:val="center"/>
          </w:tcPr>
          <w:p w14:paraId="4712AE03">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T7、投标人对不同级别护理要求有明确的服务标准和内容，内容清晰、科学合理，符合相关标准规范的得</w:t>
            </w:r>
            <w:r>
              <w:rPr>
                <w:rFonts w:hint="eastAsia" w:asciiTheme="minorEastAsia" w:hAnsiTheme="minorEastAsia" w:eastAsiaTheme="minorEastAsia"/>
                <w:bCs/>
                <w:sz w:val="26"/>
                <w:szCs w:val="26"/>
                <w:lang w:val="en-US" w:eastAsia="zh-CN"/>
              </w:rPr>
              <w:t>3</w:t>
            </w:r>
            <w:r>
              <w:rPr>
                <w:rFonts w:asciiTheme="minorEastAsia" w:hAnsiTheme="minorEastAsia" w:eastAsiaTheme="minorEastAsia"/>
                <w:bCs/>
                <w:sz w:val="26"/>
                <w:szCs w:val="26"/>
              </w:rPr>
              <w:t>分，否则不得分。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32AA8DA5">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2EE2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0" w:type="auto"/>
            <w:tcBorders>
              <w:top w:val="single" w:color="auto" w:sz="4" w:space="0"/>
              <w:left w:val="single" w:color="auto" w:sz="4" w:space="0"/>
              <w:bottom w:val="single" w:color="auto" w:sz="4" w:space="0"/>
              <w:right w:val="single" w:color="auto" w:sz="4" w:space="0"/>
            </w:tcBorders>
            <w:vAlign w:val="center"/>
          </w:tcPr>
          <w:p w14:paraId="402C13EA">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T8、服务响应能力：</w:t>
            </w:r>
            <w:r>
              <w:rPr>
                <w:rFonts w:asciiTheme="minorEastAsia" w:hAnsiTheme="minorEastAsia" w:eastAsiaTheme="minorEastAsia"/>
                <w:bCs/>
                <w:sz w:val="26"/>
                <w:szCs w:val="26"/>
                <w:highlight w:val="none"/>
              </w:rPr>
              <w:t>有服务需求时响应时间</w:t>
            </w:r>
            <w:r>
              <w:rPr>
                <w:rFonts w:hint="eastAsia" w:asciiTheme="minorEastAsia" w:hAnsiTheme="minorEastAsia" w:eastAsiaTheme="minorEastAsia"/>
                <w:bCs/>
                <w:sz w:val="26"/>
                <w:szCs w:val="26"/>
                <w:highlight w:val="none"/>
                <w:lang w:val="en-US" w:eastAsia="zh-CN"/>
              </w:rPr>
              <w:t>1</w:t>
            </w:r>
            <w:r>
              <w:rPr>
                <w:rFonts w:hint="eastAsia" w:asciiTheme="minorEastAsia" w:hAnsiTheme="minorEastAsia" w:eastAsiaTheme="minorEastAsia"/>
                <w:bCs/>
                <w:sz w:val="26"/>
                <w:szCs w:val="26"/>
                <w:highlight w:val="none"/>
              </w:rPr>
              <w:t>＜</w:t>
            </w:r>
            <w:r>
              <w:rPr>
                <w:rFonts w:hint="eastAsia" w:asciiTheme="minorEastAsia" w:hAnsiTheme="minorEastAsia" w:eastAsiaTheme="minorEastAsia"/>
                <w:bCs/>
                <w:sz w:val="26"/>
                <w:szCs w:val="26"/>
                <w:highlight w:val="none"/>
                <w:lang w:val="en-US" w:eastAsia="zh-CN"/>
              </w:rPr>
              <w:t>T</w:t>
            </w:r>
            <w:r>
              <w:rPr>
                <w:rFonts w:asciiTheme="minorEastAsia" w:hAnsiTheme="minorEastAsia" w:eastAsiaTheme="minorEastAsia"/>
                <w:bCs/>
                <w:sz w:val="26"/>
                <w:szCs w:val="26"/>
                <w:highlight w:val="none"/>
              </w:rPr>
              <w:t>≤2小时的得1分，</w:t>
            </w:r>
            <w:r>
              <w:rPr>
                <w:rFonts w:hint="eastAsia" w:asciiTheme="minorEastAsia" w:hAnsiTheme="minorEastAsia" w:eastAsiaTheme="minorEastAsia"/>
                <w:bCs/>
                <w:sz w:val="26"/>
                <w:szCs w:val="26"/>
                <w:highlight w:val="none"/>
                <w:lang w:val="en-US" w:eastAsia="zh-CN"/>
              </w:rPr>
              <w:t>T</w:t>
            </w:r>
            <w:r>
              <w:rPr>
                <w:rFonts w:asciiTheme="minorEastAsia" w:hAnsiTheme="minorEastAsia" w:eastAsiaTheme="minorEastAsia"/>
                <w:bCs/>
                <w:sz w:val="26"/>
                <w:szCs w:val="26"/>
                <w:highlight w:val="none"/>
              </w:rPr>
              <w:t>≤1小时的得</w:t>
            </w:r>
            <w:r>
              <w:rPr>
                <w:rFonts w:hint="eastAsia" w:asciiTheme="minorEastAsia" w:hAnsiTheme="minorEastAsia" w:eastAsiaTheme="minorEastAsia"/>
                <w:bCs/>
                <w:sz w:val="26"/>
                <w:szCs w:val="26"/>
                <w:highlight w:val="none"/>
                <w:lang w:val="en-US" w:eastAsia="zh-CN"/>
              </w:rPr>
              <w:t>3</w:t>
            </w:r>
            <w:r>
              <w:rPr>
                <w:rFonts w:asciiTheme="minorEastAsia" w:hAnsiTheme="minorEastAsia" w:eastAsiaTheme="minorEastAsia"/>
                <w:bCs/>
                <w:sz w:val="26"/>
                <w:szCs w:val="26"/>
                <w:highlight w:val="none"/>
              </w:rPr>
              <w:t>分。</w:t>
            </w:r>
            <w:r>
              <w:rPr>
                <w:rFonts w:asciiTheme="minorEastAsia" w:hAnsiTheme="minorEastAsia" w:eastAsiaTheme="minorEastAsia"/>
                <w:bCs/>
                <w:sz w:val="26"/>
                <w:szCs w:val="26"/>
              </w:rPr>
              <w:t>需提供承诺函，否则不得分。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7604BD63">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3</w:t>
            </w:r>
          </w:p>
        </w:tc>
      </w:tr>
      <w:tr w14:paraId="5AEF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tcBorders>
              <w:top w:val="single" w:color="auto" w:sz="4" w:space="0"/>
              <w:left w:val="single" w:color="auto" w:sz="4" w:space="0"/>
              <w:bottom w:val="single" w:color="auto" w:sz="4" w:space="0"/>
              <w:right w:val="single" w:color="auto" w:sz="4" w:space="0"/>
            </w:tcBorders>
            <w:vAlign w:val="center"/>
          </w:tcPr>
          <w:p w14:paraId="01929F29">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T9、投标人承诺：如中标，将需严格按照《陪护人员缺陷管理制度》、《治安及消防安全要求细则》执行。提供承诺的得</w:t>
            </w:r>
            <w:r>
              <w:rPr>
                <w:rFonts w:hint="eastAsia" w:asciiTheme="minorEastAsia" w:hAnsiTheme="minorEastAsia" w:eastAsiaTheme="minorEastAsia"/>
                <w:bCs/>
                <w:sz w:val="26"/>
                <w:szCs w:val="26"/>
                <w:lang w:val="en-US" w:eastAsia="zh-CN"/>
              </w:rPr>
              <w:t>1</w:t>
            </w:r>
            <w:r>
              <w:rPr>
                <w:rFonts w:asciiTheme="minorEastAsia" w:hAnsiTheme="minorEastAsia" w:eastAsiaTheme="minorEastAsia"/>
                <w:bCs/>
                <w:sz w:val="26"/>
                <w:szCs w:val="26"/>
              </w:rPr>
              <w:t>分，否则不得分。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70F0A4CF">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1</w:t>
            </w:r>
          </w:p>
        </w:tc>
      </w:tr>
      <w:tr w14:paraId="279D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0" w:type="auto"/>
            <w:tcBorders>
              <w:top w:val="single" w:color="auto" w:sz="4" w:space="0"/>
              <w:left w:val="single" w:color="auto" w:sz="4" w:space="0"/>
              <w:bottom w:val="single" w:color="auto" w:sz="4" w:space="0"/>
              <w:right w:val="single" w:color="auto" w:sz="4" w:space="0"/>
            </w:tcBorders>
            <w:vAlign w:val="center"/>
          </w:tcPr>
          <w:p w14:paraId="32879E53">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T10、根据投标人拟投入本项目的项目经理（项目负责人）情况进行评价：</w:t>
            </w:r>
          </w:p>
          <w:p w14:paraId="17D19D90">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（1）具有全日制大学本科（护理学专业）或以上学历的得1分，否则不得分。</w:t>
            </w:r>
          </w:p>
          <w:p w14:paraId="253E8034">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（2）持有《护士执业证书》得1分，否则不得分。</w:t>
            </w:r>
          </w:p>
          <w:p w14:paraId="69C909AE">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（3）持有中级或以上护理相关证书的得2分，否则不得分。</w:t>
            </w:r>
          </w:p>
          <w:p w14:paraId="60853A4A">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（4）具有从事三级甲等医院管理工作经验四年及以上的得2分，需提供医院出具的证明，否则不得分。</w:t>
            </w:r>
          </w:p>
          <w:p w14:paraId="721A202A">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(5)具备国家级护理员/护工培训师资证书得2分，否则不得分。</w:t>
            </w:r>
          </w:p>
          <w:p w14:paraId="5030CCFA">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注：需提供项目经理身份证复印件、劳动合同、投标人为其缴纳社保的证明（近六个月任一个月，不含开标当月），以及评分对应的证书、证明，否则不得分。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7B347C9E">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8</w:t>
            </w:r>
          </w:p>
        </w:tc>
      </w:tr>
      <w:tr w14:paraId="1B8A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436E28AE">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T11、根据投标人拟投入本项目的其他人员情况进行评价：</w:t>
            </w:r>
          </w:p>
          <w:p w14:paraId="741B6DEE">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（1）投标人承诺为本项目配置的现场管理人员2人（含）以上（除项目经理外）的得1分，需提供承诺函，否则不得分。</w:t>
            </w:r>
          </w:p>
          <w:p w14:paraId="5B5531AE">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（2）现场管理人员（2人含以上）均为大专（护理学专业）或以上毕业的得2分，未提供不得分。</w:t>
            </w:r>
          </w:p>
          <w:p w14:paraId="6E5FC18A">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（3）现场管理人员（2人含以上）均持有卫生专业技术资格中级护理学证书的得2分，未提供不得分。</w:t>
            </w:r>
          </w:p>
          <w:p w14:paraId="4A4BF372">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注：需提供人员身份证复印件、劳动合同、投标人为其缴纳社保的证明（近六个月任一个月，不含开标当月），以及评分对应的证书、证明，否则不得分。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5EC736B3">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5</w:t>
            </w:r>
          </w:p>
        </w:tc>
      </w:tr>
      <w:tr w14:paraId="3DA7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trPr>
        <w:tc>
          <w:tcPr>
            <w:tcW w:w="0" w:type="auto"/>
            <w:tcBorders>
              <w:top w:val="single" w:color="auto" w:sz="4" w:space="0"/>
              <w:left w:val="single" w:color="auto" w:sz="4" w:space="0"/>
              <w:bottom w:val="single" w:color="auto" w:sz="4" w:space="0"/>
              <w:right w:val="single" w:color="auto" w:sz="4" w:space="0"/>
            </w:tcBorders>
            <w:vAlign w:val="center"/>
          </w:tcPr>
          <w:p w14:paraId="52B4FEED">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T12、投标人完全满足招标文件 “技术和服务要求”的得</w:t>
            </w:r>
            <w:r>
              <w:rPr>
                <w:rFonts w:hint="eastAsia" w:asciiTheme="minorEastAsia" w:hAnsiTheme="minorEastAsia" w:eastAsiaTheme="minorEastAsia"/>
                <w:bCs/>
                <w:sz w:val="26"/>
                <w:szCs w:val="26"/>
                <w:lang w:val="en-US" w:eastAsia="zh-CN"/>
              </w:rPr>
              <w:t>34</w:t>
            </w:r>
            <w:r>
              <w:rPr>
                <w:rFonts w:asciiTheme="minorEastAsia" w:hAnsiTheme="minorEastAsia" w:eastAsiaTheme="minorEastAsia"/>
                <w:bCs/>
                <w:sz w:val="26"/>
                <w:szCs w:val="26"/>
              </w:rPr>
              <w:t>分，每有1项不满足扣2分，扣完为止投标人需作出明确的响应承诺，否则不得分。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04A4B45A">
            <w:pPr>
              <w:pStyle w:val="45"/>
              <w:jc w:val="both"/>
              <w:rPr>
                <w:rFonts w:hint="default"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34</w:t>
            </w:r>
          </w:p>
        </w:tc>
      </w:tr>
      <w:tr w14:paraId="1B25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0" w:type="auto"/>
            <w:tcBorders>
              <w:top w:val="single" w:color="auto" w:sz="4" w:space="0"/>
              <w:left w:val="single" w:color="auto" w:sz="4" w:space="0"/>
              <w:bottom w:val="single" w:color="auto" w:sz="4" w:space="0"/>
              <w:right w:val="single" w:color="auto" w:sz="4" w:space="0"/>
            </w:tcBorders>
            <w:vAlign w:val="center"/>
          </w:tcPr>
          <w:p w14:paraId="25B08297">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商务项（F3×A3）满分为</w:t>
            </w:r>
            <w:r>
              <w:rPr>
                <w:rFonts w:hint="eastAsia" w:asciiTheme="minorEastAsia" w:hAnsiTheme="minorEastAsia" w:eastAsiaTheme="minorEastAsia"/>
                <w:bCs/>
                <w:sz w:val="26"/>
                <w:szCs w:val="26"/>
                <w:lang w:val="en-US" w:eastAsia="zh-CN"/>
              </w:rPr>
              <w:t>28</w:t>
            </w:r>
            <w:r>
              <w:rPr>
                <w:rFonts w:asciiTheme="minorEastAsia" w:hAnsiTheme="minorEastAsia" w:eastAsiaTheme="minorEastAsia"/>
                <w:bCs/>
                <w:sz w:val="26"/>
                <w:szCs w:val="26"/>
              </w:rPr>
              <w:t>.00分</w:t>
            </w:r>
          </w:p>
        </w:tc>
        <w:tc>
          <w:tcPr>
            <w:tcW w:w="0" w:type="auto"/>
            <w:tcBorders>
              <w:top w:val="single" w:color="auto" w:sz="4" w:space="0"/>
              <w:left w:val="single" w:color="auto" w:sz="4" w:space="0"/>
              <w:bottom w:val="single" w:color="auto" w:sz="4" w:space="0"/>
              <w:right w:val="single" w:color="auto" w:sz="4" w:space="0"/>
            </w:tcBorders>
            <w:vAlign w:val="center"/>
          </w:tcPr>
          <w:p w14:paraId="7F8E8F87">
            <w:pPr>
              <w:pStyle w:val="45"/>
              <w:jc w:val="both"/>
              <w:rPr>
                <w:rFonts w:cs="宋体" w:asciiTheme="minorEastAsia" w:hAnsiTheme="minorEastAsia" w:eastAsiaTheme="minorEastAsia"/>
                <w:sz w:val="24"/>
                <w:lang w:bidi="ar"/>
              </w:rPr>
            </w:pPr>
          </w:p>
        </w:tc>
      </w:tr>
      <w:tr w14:paraId="1E36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4C6DBA0D">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B1、根据投标人的体系认证情况进行评价：</w:t>
            </w:r>
          </w:p>
          <w:p w14:paraId="2887592B">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（1）投标人通过质量管理体系认证的得1分，否则不得分。</w:t>
            </w:r>
          </w:p>
          <w:p w14:paraId="6B74954B">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（2）投标人通过环境管理体系认证的得1分，否则不得分。</w:t>
            </w:r>
          </w:p>
          <w:p w14:paraId="729053CE">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（3）投标人通过职业健康安全管理体系认证的得1分，否则不得分。</w:t>
            </w:r>
          </w:p>
          <w:p w14:paraId="25EC05E4">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（4）投标人通过企业诚信管理体系认证的得1分，否则不得分。</w:t>
            </w:r>
          </w:p>
          <w:p w14:paraId="6AAABFA3">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（5）投标人通过信息安全管理体系认证的得1分，否则不得分。</w:t>
            </w:r>
          </w:p>
          <w:p w14:paraId="3386B8D1">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（6）投标人通过社会责任管理体系认证的得1分，否则不得分。</w:t>
            </w:r>
          </w:p>
          <w:p w14:paraId="6002B325">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注：以上需同时提供认证证书扫描件和全国认证认可信息公共服务平台（网址：http://cx.cnca.cn）的网页查询截图（截图内容至少包含但不限于证书编号、证书状态、证书到期日期、组织名称、发证机构名称）并体现网址，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629F8ED2">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6</w:t>
            </w:r>
          </w:p>
        </w:tc>
      </w:tr>
      <w:tr w14:paraId="460F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67ED35D1">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B2、投标人为本项目投入护理或护工管理系统的得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分，需提供系统的软件著作权登记证书，未提供不得分。</w:t>
            </w:r>
          </w:p>
          <w:p w14:paraId="6F8491C0">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为保障信息安全，投标人通过三级信息系统安全等级保护备案的得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分，提供相关证明材料，未提供不得分</w:t>
            </w:r>
          </w:p>
        </w:tc>
        <w:tc>
          <w:tcPr>
            <w:tcW w:w="0" w:type="auto"/>
            <w:tcBorders>
              <w:top w:val="single" w:color="auto" w:sz="4" w:space="0"/>
              <w:left w:val="single" w:color="auto" w:sz="4" w:space="0"/>
              <w:bottom w:val="single" w:color="auto" w:sz="4" w:space="0"/>
              <w:right w:val="single" w:color="auto" w:sz="4" w:space="0"/>
            </w:tcBorders>
            <w:vAlign w:val="center"/>
          </w:tcPr>
          <w:p w14:paraId="4BD85A60">
            <w:pPr>
              <w:pStyle w:val="45"/>
              <w:jc w:val="both"/>
              <w:rPr>
                <w:rFonts w:hint="default" w:asciiTheme="minorEastAsia" w:hAnsiTheme="minorEastAsia" w:eastAsiaTheme="minorEastAsia"/>
                <w:bCs/>
                <w:sz w:val="26"/>
                <w:szCs w:val="26"/>
                <w:lang w:val="en-US" w:eastAsia="zh-CN"/>
              </w:rPr>
            </w:pPr>
            <w:r>
              <w:rPr>
                <w:rFonts w:hint="eastAsia" w:asciiTheme="minorEastAsia" w:hAnsiTheme="minorEastAsia" w:eastAsiaTheme="minorEastAsia"/>
                <w:bCs/>
                <w:sz w:val="26"/>
                <w:szCs w:val="26"/>
                <w:lang w:val="en-US" w:eastAsia="zh-CN"/>
              </w:rPr>
              <w:t>4</w:t>
            </w:r>
          </w:p>
        </w:tc>
      </w:tr>
      <w:tr w14:paraId="30A4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3DC7FD83">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B3、投标人承诺在本项目使用管理系统软件并提供相关技术与医院对接得</w:t>
            </w:r>
            <w:r>
              <w:rPr>
                <w:rFonts w:hint="eastAsia" w:asciiTheme="minorEastAsia" w:hAnsiTheme="minorEastAsia" w:eastAsiaTheme="minorEastAsia"/>
                <w:bCs/>
                <w:sz w:val="26"/>
                <w:szCs w:val="26"/>
                <w:lang w:val="en-US" w:eastAsia="zh-CN"/>
              </w:rPr>
              <w:t>2</w:t>
            </w:r>
            <w:r>
              <w:rPr>
                <w:rFonts w:asciiTheme="minorEastAsia" w:hAnsiTheme="minorEastAsia" w:eastAsiaTheme="minorEastAsia"/>
                <w:bCs/>
                <w:sz w:val="26"/>
                <w:szCs w:val="26"/>
              </w:rPr>
              <w:t>分，需提供承诺函，否则不得分。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3C5554D8">
            <w:pPr>
              <w:pStyle w:val="45"/>
              <w:jc w:val="both"/>
              <w:rPr>
                <w:rFonts w:hint="eastAsia" w:asciiTheme="minorEastAsia" w:hAnsiTheme="minorEastAsia" w:eastAsiaTheme="minorEastAsia"/>
                <w:bCs/>
                <w:sz w:val="26"/>
                <w:szCs w:val="26"/>
                <w:lang w:eastAsia="zh-CN"/>
              </w:rPr>
            </w:pPr>
            <w:r>
              <w:rPr>
                <w:rFonts w:hint="eastAsia" w:asciiTheme="minorEastAsia" w:hAnsiTheme="minorEastAsia" w:eastAsiaTheme="minorEastAsia"/>
                <w:bCs/>
                <w:sz w:val="26"/>
                <w:szCs w:val="26"/>
                <w:lang w:val="en-US" w:eastAsia="zh-CN"/>
              </w:rPr>
              <w:t>2</w:t>
            </w:r>
          </w:p>
        </w:tc>
      </w:tr>
      <w:tr w14:paraId="4EF7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7B918A9D">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B4、投标人为护理人员购买团体意外险的得2分，需提供保单复印件及加盖公章，否则不得分。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197F9802">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2</w:t>
            </w:r>
          </w:p>
        </w:tc>
      </w:tr>
      <w:tr w14:paraId="0145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7700FFA6">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B5、投标人购买第三者责任保险（每次事故赔偿不低于500万元）的得2分，需提供保单复印件及加盖公章，否则不得分。</w:t>
            </w:r>
          </w:p>
        </w:tc>
        <w:tc>
          <w:tcPr>
            <w:tcW w:w="0" w:type="auto"/>
            <w:tcBorders>
              <w:top w:val="single" w:color="auto" w:sz="4" w:space="0"/>
              <w:left w:val="single" w:color="auto" w:sz="4" w:space="0"/>
              <w:bottom w:val="single" w:color="auto" w:sz="4" w:space="0"/>
              <w:right w:val="single" w:color="auto" w:sz="4" w:space="0"/>
            </w:tcBorders>
            <w:vAlign w:val="center"/>
          </w:tcPr>
          <w:p w14:paraId="7C5C7019">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2</w:t>
            </w:r>
          </w:p>
        </w:tc>
      </w:tr>
      <w:tr w14:paraId="598C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0" w:type="auto"/>
            <w:tcBorders>
              <w:top w:val="single" w:color="auto" w:sz="4" w:space="0"/>
              <w:left w:val="single" w:color="auto" w:sz="4" w:space="0"/>
              <w:bottom w:val="single" w:color="auto" w:sz="4" w:space="0"/>
              <w:right w:val="single" w:color="auto" w:sz="4" w:space="0"/>
            </w:tcBorders>
            <w:vAlign w:val="center"/>
          </w:tcPr>
          <w:p w14:paraId="5BB72F70">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B6、服务质量：根据投标人提供</w:t>
            </w:r>
            <w:r>
              <w:rPr>
                <w:rFonts w:asciiTheme="minorEastAsia" w:hAnsiTheme="minorEastAsia" w:eastAsiaTheme="minorEastAsia"/>
                <w:bCs/>
                <w:sz w:val="26"/>
                <w:szCs w:val="26"/>
                <w:highlight w:val="none"/>
              </w:rPr>
              <w:t>202</w:t>
            </w:r>
            <w:r>
              <w:rPr>
                <w:rFonts w:hint="eastAsia" w:asciiTheme="minorEastAsia" w:hAnsiTheme="minorEastAsia" w:eastAsiaTheme="minorEastAsia"/>
                <w:bCs/>
                <w:sz w:val="26"/>
                <w:szCs w:val="26"/>
                <w:highlight w:val="none"/>
                <w:lang w:val="en-US" w:eastAsia="zh-CN"/>
              </w:rPr>
              <w:t>2</w:t>
            </w:r>
            <w:r>
              <w:rPr>
                <w:rFonts w:asciiTheme="minorEastAsia" w:hAnsiTheme="minorEastAsia" w:eastAsiaTheme="minorEastAsia"/>
                <w:bCs/>
                <w:sz w:val="26"/>
                <w:szCs w:val="26"/>
              </w:rPr>
              <w:t>年1月1日起至投标截至时间止，所在服务的三甲医院获得的服务满意证明材料进行评价：具有6个（含）以上医院出具的服务满意证明材料，每提供一个得0.5分，满分3分，否则不得分。</w:t>
            </w:r>
          </w:p>
          <w:p w14:paraId="2EBB69B8">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注：服务满意证明材料包括：出具业主单位（或主管部门）盖章的服务满意证明文件（满意度在90分（含）以上）及双方签订的合同复印件。</w:t>
            </w:r>
          </w:p>
        </w:tc>
        <w:tc>
          <w:tcPr>
            <w:tcW w:w="0" w:type="auto"/>
            <w:tcBorders>
              <w:top w:val="single" w:color="auto" w:sz="4" w:space="0"/>
              <w:left w:val="single" w:color="auto" w:sz="4" w:space="0"/>
              <w:bottom w:val="single" w:color="auto" w:sz="4" w:space="0"/>
              <w:right w:val="single" w:color="auto" w:sz="4" w:space="0"/>
            </w:tcBorders>
            <w:vAlign w:val="center"/>
          </w:tcPr>
          <w:p w14:paraId="66D37715">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3</w:t>
            </w:r>
          </w:p>
        </w:tc>
      </w:tr>
      <w:tr w14:paraId="4DD5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0" w:type="auto"/>
            <w:tcBorders>
              <w:top w:val="single" w:color="auto" w:sz="4" w:space="0"/>
              <w:left w:val="single" w:color="auto" w:sz="4" w:space="0"/>
              <w:bottom w:val="single" w:color="auto" w:sz="4" w:space="0"/>
              <w:right w:val="single" w:color="auto" w:sz="4" w:space="0"/>
            </w:tcBorders>
            <w:vAlign w:val="center"/>
          </w:tcPr>
          <w:p w14:paraId="12691A2C">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B7、根据投标人</w:t>
            </w:r>
            <w:r>
              <w:rPr>
                <w:rFonts w:asciiTheme="minorEastAsia" w:hAnsiTheme="minorEastAsia" w:eastAsiaTheme="minorEastAsia"/>
                <w:bCs/>
                <w:sz w:val="26"/>
                <w:szCs w:val="26"/>
                <w:highlight w:val="none"/>
              </w:rPr>
              <w:t>202</w:t>
            </w:r>
            <w:r>
              <w:rPr>
                <w:rFonts w:hint="eastAsia" w:asciiTheme="minorEastAsia" w:hAnsiTheme="minorEastAsia" w:eastAsiaTheme="minorEastAsia"/>
                <w:bCs/>
                <w:sz w:val="26"/>
                <w:szCs w:val="26"/>
                <w:highlight w:val="none"/>
                <w:lang w:val="en-US" w:eastAsia="zh-CN"/>
              </w:rPr>
              <w:t>2</w:t>
            </w:r>
            <w:r>
              <w:rPr>
                <w:rFonts w:asciiTheme="minorEastAsia" w:hAnsiTheme="minorEastAsia" w:eastAsiaTheme="minorEastAsia"/>
                <w:bCs/>
                <w:sz w:val="26"/>
                <w:szCs w:val="26"/>
              </w:rPr>
              <w:t>年1月1日至今（以合同签订时间为准）类似医疗机构病患陪护服务的经营业绩的有效证明文件进行评价，有效证明文件包括该业绩的：</w:t>
            </w:r>
          </w:p>
          <w:p w14:paraId="651DBB96">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①中标（成交）公告（提供相关网站中标（成交）公告的下载网页及其网址）；</w:t>
            </w:r>
          </w:p>
          <w:p w14:paraId="40B24CC6">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②中标（成交）通知书复印件；</w:t>
            </w:r>
          </w:p>
          <w:p w14:paraId="13381542">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③采购合同文本复印件（必须体现有护理、护工、陪护、生活照料、医疗生活护理等关键字之一）；</w:t>
            </w:r>
          </w:p>
          <w:p w14:paraId="3B7B585B">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上述证明三项齐全。每个有效业绩得1分，满分3分。未按要求提供完整证明资料的业绩将不予计分。</w:t>
            </w:r>
          </w:p>
        </w:tc>
        <w:tc>
          <w:tcPr>
            <w:tcW w:w="0" w:type="auto"/>
            <w:tcBorders>
              <w:top w:val="single" w:color="auto" w:sz="4" w:space="0"/>
              <w:left w:val="single" w:color="auto" w:sz="4" w:space="0"/>
              <w:bottom w:val="single" w:color="auto" w:sz="4" w:space="0"/>
              <w:right w:val="single" w:color="auto" w:sz="4" w:space="0"/>
            </w:tcBorders>
            <w:vAlign w:val="center"/>
          </w:tcPr>
          <w:p w14:paraId="05F973A1">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3</w:t>
            </w:r>
          </w:p>
        </w:tc>
      </w:tr>
      <w:tr w14:paraId="03DA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0" w:type="auto"/>
            <w:tcBorders>
              <w:top w:val="single" w:color="auto" w:sz="4" w:space="0"/>
              <w:left w:val="single" w:color="auto" w:sz="4" w:space="0"/>
              <w:bottom w:val="single" w:color="auto" w:sz="4" w:space="0"/>
              <w:right w:val="single" w:color="auto" w:sz="4" w:space="0"/>
            </w:tcBorders>
            <w:vAlign w:val="center"/>
          </w:tcPr>
          <w:p w14:paraId="3A0C6E7F">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B8、投标人近两年参加国家级医疗护理员大赛并取得荣誉的得3分，需提供荣誉证书，未提供不得分。</w:t>
            </w:r>
          </w:p>
        </w:tc>
        <w:tc>
          <w:tcPr>
            <w:tcW w:w="0" w:type="auto"/>
            <w:tcBorders>
              <w:top w:val="single" w:color="auto" w:sz="4" w:space="0"/>
              <w:left w:val="single" w:color="auto" w:sz="4" w:space="0"/>
              <w:bottom w:val="single" w:color="auto" w:sz="4" w:space="0"/>
              <w:right w:val="single" w:color="auto" w:sz="4" w:space="0"/>
            </w:tcBorders>
            <w:vAlign w:val="center"/>
          </w:tcPr>
          <w:p w14:paraId="09F7D608">
            <w:pPr>
              <w:pStyle w:val="45"/>
              <w:jc w:val="both"/>
              <w:rPr>
                <w:rFonts w:asciiTheme="minorEastAsia" w:hAnsiTheme="minorEastAsia" w:eastAsiaTheme="minorEastAsia"/>
                <w:sz w:val="24"/>
              </w:rPr>
            </w:pPr>
            <w:r>
              <w:rPr>
                <w:rFonts w:asciiTheme="minorEastAsia" w:hAnsiTheme="minorEastAsia" w:eastAsiaTheme="minorEastAsia"/>
                <w:spacing w:val="-12"/>
                <w:sz w:val="24"/>
              </w:rPr>
              <w:t>3</w:t>
            </w:r>
          </w:p>
        </w:tc>
      </w:tr>
      <w:tr w14:paraId="7F35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0" w:type="auto"/>
            <w:tcBorders>
              <w:top w:val="single" w:color="auto" w:sz="4" w:space="0"/>
              <w:left w:val="single" w:color="auto" w:sz="4" w:space="0"/>
              <w:bottom w:val="single" w:color="auto" w:sz="4" w:space="0"/>
              <w:right w:val="single" w:color="auto" w:sz="4" w:space="0"/>
            </w:tcBorders>
            <w:vAlign w:val="center"/>
          </w:tcPr>
          <w:p w14:paraId="78E88ECC">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B9、投标人参与护理员基本知识与技能相关丛书编制得3分，丛书为发行类刊物，有期刊书号。须提供相关证明材料并加盖公章，不提供或不符合要求不得分。</w:t>
            </w:r>
          </w:p>
        </w:tc>
        <w:tc>
          <w:tcPr>
            <w:tcW w:w="0" w:type="auto"/>
            <w:tcBorders>
              <w:top w:val="single" w:color="auto" w:sz="4" w:space="0"/>
              <w:left w:val="single" w:color="auto" w:sz="4" w:space="0"/>
              <w:bottom w:val="single" w:color="auto" w:sz="4" w:space="0"/>
              <w:right w:val="single" w:color="auto" w:sz="4" w:space="0"/>
            </w:tcBorders>
            <w:vAlign w:val="center"/>
          </w:tcPr>
          <w:p w14:paraId="0CBB0ED7">
            <w:pPr>
              <w:pStyle w:val="45"/>
              <w:jc w:val="both"/>
              <w:rPr>
                <w:rFonts w:asciiTheme="minorEastAsia" w:hAnsiTheme="minorEastAsia" w:eastAsiaTheme="minorEastAsia"/>
                <w:bCs/>
                <w:sz w:val="26"/>
                <w:szCs w:val="26"/>
              </w:rPr>
            </w:pPr>
            <w:r>
              <w:rPr>
                <w:rFonts w:asciiTheme="minorEastAsia" w:hAnsiTheme="minorEastAsia" w:eastAsiaTheme="minorEastAsia"/>
                <w:bCs/>
                <w:sz w:val="26"/>
                <w:szCs w:val="26"/>
              </w:rPr>
              <w:t>3</w:t>
            </w:r>
          </w:p>
        </w:tc>
      </w:tr>
    </w:tbl>
    <w:p w14:paraId="2CD1E2D3">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14CC01E8">
      <w:pPr>
        <w:pStyle w:val="12"/>
        <w:ind w:firstLine="0"/>
        <w:jc w:val="center"/>
        <w:rPr>
          <w:rFonts w:hint="eastAsia" w:asciiTheme="minorEastAsia" w:hAnsiTheme="minorEastAsia" w:eastAsiaTheme="minorEastAsia"/>
        </w:rPr>
      </w:pPr>
      <w:r>
        <w:rPr>
          <w:rFonts w:hint="eastAsia" w:asciiTheme="minorEastAsia" w:hAnsiTheme="minorEastAsia" w:eastAsiaTheme="minorEastAsia"/>
          <w:b/>
          <w:sz w:val="28"/>
          <w:szCs w:val="28"/>
        </w:rPr>
        <w:t>一、投标书</w:t>
      </w:r>
    </w:p>
    <w:p w14:paraId="7171E371">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致：福建省肿瘤医院</w:t>
      </w:r>
    </w:p>
    <w:p w14:paraId="392F4ECD">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Theme="minorEastAsia" w:hAnsiTheme="minorEastAsia" w:eastAsiaTheme="minorEastAsia"/>
          <w:b/>
          <w:sz w:val="28"/>
          <w:szCs w:val="28"/>
          <w:u w:val="single"/>
        </w:rPr>
        <w:t xml:space="preserve">：      </w:t>
      </w:r>
      <w:r>
        <w:rPr>
          <w:rFonts w:hint="eastAsia" w:asciiTheme="minorEastAsia" w:hAnsiTheme="minorEastAsia" w:eastAsiaTheme="minorEastAsia"/>
          <w:sz w:val="28"/>
          <w:szCs w:val="28"/>
          <w:u w:val="single"/>
        </w:rPr>
        <w:t xml:space="preserve">  （小写：           ）</w:t>
      </w:r>
      <w:r>
        <w:rPr>
          <w:rFonts w:hint="eastAsia" w:asciiTheme="minorEastAsia" w:hAnsiTheme="minorEastAsia" w:eastAsiaTheme="minorEastAsia"/>
          <w:sz w:val="28"/>
          <w:szCs w:val="28"/>
        </w:rPr>
        <w:t>的投标报价并按上述条款、标准要求承包上述项目，并承担任何质量缺陷保修责任。</w:t>
      </w:r>
    </w:p>
    <w:p w14:paraId="66EEE5E9">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2、我方已详细审核全部招标文件及有关附件。</w:t>
      </w:r>
    </w:p>
    <w:p w14:paraId="75F71ADF">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3、一旦我方中标，我方保证质量达到</w:t>
      </w:r>
      <w:r>
        <w:rPr>
          <w:rFonts w:hint="eastAsia" w:asciiTheme="minorEastAsia" w:hAnsiTheme="minorEastAsia" w:eastAsiaTheme="minorEastAsia"/>
          <w:b/>
          <w:sz w:val="28"/>
          <w:szCs w:val="28"/>
          <w:u w:val="single"/>
        </w:rPr>
        <w:t>投标须知、投标文件等规定</w:t>
      </w:r>
      <w:r>
        <w:rPr>
          <w:rFonts w:hint="eastAsia" w:asciiTheme="minorEastAsia" w:hAnsiTheme="minorEastAsia" w:eastAsiaTheme="minorEastAsia"/>
          <w:sz w:val="28"/>
          <w:szCs w:val="28"/>
        </w:rPr>
        <w:t>标准。</w:t>
      </w:r>
    </w:p>
    <w:p w14:paraId="23CEC730">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4、我方同意所提交的投标文件在招标文件的投标须知中规定的投标有效期内有效，在此期间内如果中标，我方将受此约束。</w:t>
      </w:r>
    </w:p>
    <w:p w14:paraId="4EBC3EC0">
      <w:pPr>
        <w:ind w:firstLine="426"/>
        <w:rPr>
          <w:rFonts w:hint="eastAsia" w:asciiTheme="minorEastAsia" w:hAnsiTheme="minorEastAsia" w:eastAsiaTheme="minorEastAsia"/>
          <w:sz w:val="28"/>
          <w:szCs w:val="28"/>
        </w:rPr>
      </w:pPr>
      <w:r>
        <w:rPr>
          <w:rFonts w:hint="eastAsia" w:asciiTheme="minorEastAsia" w:hAnsiTheme="minorEastAsia" w:eastAsiaTheme="minorEastAsia"/>
          <w:sz w:val="28"/>
          <w:szCs w:val="28"/>
        </w:rPr>
        <w:t>5、除非另外达成协议并生效，你方的中标通知书和本投标文件将成为约束双方的合同文件的组成部分。</w:t>
      </w:r>
    </w:p>
    <w:p w14:paraId="26C01C13">
      <w:pPr>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附件：报价清单</w:t>
      </w:r>
    </w:p>
    <w:p w14:paraId="3301D3F4">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682D0351">
      <w:pPr>
        <w:spacing w:line="360" w:lineRule="exact"/>
        <w:rPr>
          <w:rFonts w:hint="eastAsia" w:asciiTheme="minorEastAsia" w:hAnsiTheme="minorEastAsia" w:eastAsiaTheme="minorEastAsia"/>
          <w:sz w:val="28"/>
          <w:szCs w:val="28"/>
        </w:rPr>
      </w:pPr>
    </w:p>
    <w:p w14:paraId="21E525CD">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单位地址： </w:t>
      </w:r>
    </w:p>
    <w:p w14:paraId="6EE7E81C">
      <w:pPr>
        <w:spacing w:line="360" w:lineRule="exact"/>
        <w:rPr>
          <w:rFonts w:hint="eastAsia" w:asciiTheme="minorEastAsia" w:hAnsiTheme="minorEastAsia" w:eastAsiaTheme="minorEastAsia"/>
          <w:sz w:val="28"/>
          <w:szCs w:val="28"/>
        </w:rPr>
      </w:pPr>
    </w:p>
    <w:p w14:paraId="51C074AE">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法定代表人（签字或盖章）：</w:t>
      </w:r>
    </w:p>
    <w:p w14:paraId="5F491073">
      <w:pPr>
        <w:spacing w:line="360" w:lineRule="exact"/>
        <w:rPr>
          <w:rFonts w:hint="eastAsia" w:asciiTheme="minorEastAsia" w:hAnsiTheme="minorEastAsia" w:eastAsiaTheme="minorEastAsia"/>
          <w:sz w:val="28"/>
          <w:szCs w:val="28"/>
        </w:rPr>
      </w:pPr>
    </w:p>
    <w:p w14:paraId="1108F26F">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邮政编码：         </w:t>
      </w:r>
    </w:p>
    <w:p w14:paraId="1F4939F5">
      <w:pPr>
        <w:spacing w:line="360" w:lineRule="exact"/>
        <w:ind w:firstLine="3220" w:firstLineChars="1150"/>
        <w:rPr>
          <w:rFonts w:hint="eastAsia" w:asciiTheme="minorEastAsia" w:hAnsiTheme="minorEastAsia" w:eastAsiaTheme="minorEastAsia"/>
          <w:sz w:val="28"/>
          <w:szCs w:val="28"/>
        </w:rPr>
      </w:pPr>
    </w:p>
    <w:p w14:paraId="5741373B">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电话：       </w:t>
      </w:r>
    </w:p>
    <w:p w14:paraId="7BF0BA5B">
      <w:pPr>
        <w:spacing w:line="360" w:lineRule="exact"/>
        <w:ind w:firstLine="3220" w:firstLineChars="1150"/>
        <w:rPr>
          <w:rFonts w:hint="eastAsia" w:asciiTheme="minorEastAsia" w:hAnsiTheme="minorEastAsia" w:eastAsiaTheme="minorEastAsia"/>
          <w:sz w:val="28"/>
          <w:szCs w:val="28"/>
        </w:rPr>
      </w:pPr>
    </w:p>
    <w:p w14:paraId="5D2A32C9">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传真：  </w:t>
      </w:r>
    </w:p>
    <w:p w14:paraId="36EB416E">
      <w:pPr>
        <w:spacing w:line="360" w:lineRule="exact"/>
        <w:rPr>
          <w:rFonts w:hint="eastAsia" w:asciiTheme="minorEastAsia" w:hAnsiTheme="minorEastAsia" w:eastAsiaTheme="minorEastAsia"/>
          <w:sz w:val="28"/>
          <w:szCs w:val="28"/>
        </w:rPr>
      </w:pPr>
    </w:p>
    <w:p w14:paraId="7A39EED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开户银行名称： </w:t>
      </w:r>
    </w:p>
    <w:p w14:paraId="1B8C1B00">
      <w:pPr>
        <w:spacing w:line="360" w:lineRule="exact"/>
        <w:rPr>
          <w:rFonts w:hint="eastAsia" w:asciiTheme="minorEastAsia" w:hAnsiTheme="minorEastAsia" w:eastAsiaTheme="minorEastAsia"/>
          <w:sz w:val="28"/>
          <w:szCs w:val="28"/>
        </w:rPr>
      </w:pPr>
    </w:p>
    <w:p w14:paraId="68F49CB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开户银行帐号： </w:t>
      </w:r>
    </w:p>
    <w:p w14:paraId="0B2C66BB">
      <w:pPr>
        <w:spacing w:line="360" w:lineRule="exact"/>
        <w:rPr>
          <w:rFonts w:hint="eastAsia" w:asciiTheme="minorEastAsia" w:hAnsiTheme="minorEastAsia" w:eastAsiaTheme="minorEastAsia"/>
          <w:sz w:val="28"/>
          <w:szCs w:val="28"/>
        </w:rPr>
      </w:pPr>
    </w:p>
    <w:p w14:paraId="416DD665">
      <w:pPr>
        <w:spacing w:line="360" w:lineRule="exact"/>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开户银行地址：</w:t>
      </w:r>
    </w:p>
    <w:p w14:paraId="2DC6BEF4">
      <w:pPr>
        <w:spacing w:line="360" w:lineRule="exact"/>
        <w:rPr>
          <w:rFonts w:hint="eastAsia" w:asciiTheme="minorEastAsia" w:hAnsiTheme="minorEastAsia" w:eastAsiaTheme="minorEastAsia"/>
          <w:sz w:val="28"/>
          <w:szCs w:val="28"/>
        </w:rPr>
      </w:pPr>
    </w:p>
    <w:p w14:paraId="3C985D7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开户银行电话： </w:t>
      </w:r>
    </w:p>
    <w:p w14:paraId="3C45D134">
      <w:pPr>
        <w:spacing w:line="360" w:lineRule="exact"/>
        <w:ind w:firstLine="600"/>
        <w:rPr>
          <w:rFonts w:hint="eastAsia" w:asciiTheme="minorEastAsia" w:hAnsiTheme="minorEastAsia" w:eastAsiaTheme="minorEastAsia"/>
          <w:sz w:val="28"/>
          <w:szCs w:val="28"/>
        </w:rPr>
      </w:pPr>
    </w:p>
    <w:p w14:paraId="5D779C38">
      <w:pPr>
        <w:spacing w:line="360" w:lineRule="exact"/>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日期：   年   月    日</w:t>
      </w:r>
    </w:p>
    <w:p w14:paraId="50B0F280">
      <w:pPr>
        <w:rPr>
          <w:rFonts w:hint="eastAsia" w:asciiTheme="minorEastAsia" w:hAnsiTheme="minorEastAsia" w:eastAsiaTheme="minorEastAsia"/>
          <w:sz w:val="28"/>
          <w:szCs w:val="28"/>
        </w:rPr>
      </w:pPr>
    </w:p>
    <w:p w14:paraId="2F53F064">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附件：投标报价清单</w:t>
      </w:r>
    </w:p>
    <w:p w14:paraId="423A08A4">
      <w:pPr>
        <w:rPr>
          <w:rFonts w:hint="eastAsia" w:asciiTheme="minorEastAsia" w:hAnsiTheme="minorEastAsia" w:eastAsiaTheme="minorEastAsia"/>
          <w:sz w:val="28"/>
          <w:szCs w:val="28"/>
        </w:rPr>
      </w:pPr>
    </w:p>
    <w:tbl>
      <w:tblPr>
        <w:tblStyle w:val="20"/>
        <w:tblW w:w="0" w:type="auto"/>
        <w:jc w:val="center"/>
        <w:tblLayout w:type="fixed"/>
        <w:tblCellMar>
          <w:top w:w="0" w:type="dxa"/>
          <w:left w:w="108" w:type="dxa"/>
          <w:bottom w:w="0" w:type="dxa"/>
          <w:right w:w="108" w:type="dxa"/>
        </w:tblCellMar>
      </w:tblPr>
      <w:tblGrid>
        <w:gridCol w:w="629"/>
        <w:gridCol w:w="4399"/>
        <w:gridCol w:w="1417"/>
        <w:gridCol w:w="1440"/>
      </w:tblGrid>
      <w:tr w14:paraId="3B03DEB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476A4D06">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5419CA07">
            <w:pPr>
              <w:jc w:val="center"/>
              <w:rPr>
                <w:rFonts w:hint="eastAsia" w:cs="Arial" w:asciiTheme="minorEastAsia" w:hAnsiTheme="minorEastAsia" w:eastAsiaTheme="minorEastAsia"/>
                <w:sz w:val="28"/>
                <w:szCs w:val="28"/>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7C684921">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47CA67FB">
            <w:pPr>
              <w:jc w:val="center"/>
              <w:rPr>
                <w:rFonts w:hint="eastAsia" w:cs="Arial" w:asciiTheme="minorEastAsia" w:hAnsiTheme="minorEastAsia" w:eastAsiaTheme="minorEastAsia"/>
                <w:sz w:val="28"/>
                <w:szCs w:val="28"/>
              </w:rPr>
            </w:pPr>
          </w:p>
        </w:tc>
      </w:tr>
      <w:tr w14:paraId="0E711CAE">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1E84578B">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61F3E65">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07A98CCD">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E8B3B5D">
            <w:pPr>
              <w:jc w:val="center"/>
              <w:rPr>
                <w:rFonts w:hint="eastAsia" w:cs="Arial" w:asciiTheme="minorEastAsia" w:hAnsiTheme="minorEastAsia" w:eastAsiaTheme="minorEastAsia"/>
                <w:sz w:val="28"/>
                <w:szCs w:val="28"/>
              </w:rPr>
            </w:pPr>
          </w:p>
        </w:tc>
      </w:tr>
      <w:tr w14:paraId="018644F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465F40A">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764FD947">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704F7B17">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34321CC3">
            <w:pPr>
              <w:jc w:val="center"/>
              <w:rPr>
                <w:rFonts w:hint="eastAsia" w:cs="Arial" w:asciiTheme="minorEastAsia" w:hAnsiTheme="minorEastAsia" w:eastAsiaTheme="minorEastAsia"/>
                <w:sz w:val="28"/>
                <w:szCs w:val="28"/>
              </w:rPr>
            </w:pPr>
          </w:p>
        </w:tc>
      </w:tr>
    </w:tbl>
    <w:p w14:paraId="1710E006">
      <w:pPr>
        <w:jc w:val="center"/>
        <w:rPr>
          <w:rFonts w:hint="eastAsia" w:asciiTheme="minorEastAsia" w:hAnsiTheme="minorEastAsia" w:eastAsiaTheme="minorEastAsia"/>
          <w:sz w:val="28"/>
          <w:szCs w:val="28"/>
        </w:rPr>
      </w:pPr>
    </w:p>
    <w:p w14:paraId="548E1689">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D6EF84E">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二、投标委托代表人资格证明书</w:t>
      </w:r>
    </w:p>
    <w:p w14:paraId="2538C189">
      <w:pPr>
        <w:rPr>
          <w:rFonts w:hint="eastAsia" w:asciiTheme="minorEastAsia" w:hAnsiTheme="minorEastAsia" w:eastAsiaTheme="minorEastAsia"/>
          <w:sz w:val="28"/>
          <w:szCs w:val="28"/>
        </w:rPr>
      </w:pPr>
    </w:p>
    <w:p w14:paraId="0D6563F0">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单位名称：</w:t>
      </w:r>
    </w:p>
    <w:p w14:paraId="05B7A663">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地址：</w:t>
      </w:r>
    </w:p>
    <w:p w14:paraId="7176E048">
      <w:pPr>
        <w:spacing w:line="360" w:lineRule="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姓名：    性别：年龄：  职务：   系委托代表人。为施工、竣工和保修项目，签署上述项目的投标文件、进行合同谈判、签署合同和处理与之有关的一切事务。</w:t>
      </w:r>
    </w:p>
    <w:p w14:paraId="78870C76">
      <w:pPr>
        <w:spacing w:line="360" w:lineRule="auto"/>
        <w:rPr>
          <w:rFonts w:hint="eastAsia" w:asciiTheme="minorEastAsia" w:hAnsiTheme="minorEastAsia" w:eastAsiaTheme="minorEastAsia"/>
          <w:sz w:val="28"/>
          <w:szCs w:val="28"/>
        </w:rPr>
      </w:pPr>
    </w:p>
    <w:p w14:paraId="6FF5F0B1">
      <w:pPr>
        <w:spacing w:line="360" w:lineRule="auto"/>
        <w:ind w:firstLine="5460" w:firstLineChars="19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491FB0CF">
      <w:pPr>
        <w:spacing w:line="360" w:lineRule="auto"/>
        <w:ind w:firstLine="5740" w:firstLineChars="20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年   月  日</w:t>
      </w:r>
    </w:p>
    <w:p w14:paraId="5FCECE70">
      <w:pPr>
        <w:jc w:val="center"/>
        <w:rPr>
          <w:rFonts w:hint="eastAsia" w:asciiTheme="minorEastAsia" w:hAnsiTheme="minorEastAsia" w:eastAsiaTheme="minorEastAsia"/>
          <w:b/>
          <w:sz w:val="28"/>
          <w:szCs w:val="28"/>
        </w:rPr>
      </w:pPr>
    </w:p>
    <w:p w14:paraId="1BD28557">
      <w:pPr>
        <w:jc w:val="center"/>
        <w:rPr>
          <w:rFonts w:hint="eastAsia" w:asciiTheme="minorEastAsia" w:hAnsiTheme="minorEastAsia" w:eastAsiaTheme="minorEastAsia"/>
          <w:b/>
          <w:sz w:val="28"/>
          <w:szCs w:val="28"/>
        </w:rPr>
      </w:pPr>
    </w:p>
    <w:p w14:paraId="1D7AC0BA">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6522E99">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三、投标承诺书</w:t>
      </w:r>
    </w:p>
    <w:p w14:paraId="49D2952C">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bCs/>
          <w:sz w:val="28"/>
          <w:szCs w:val="28"/>
        </w:rPr>
      </w:pPr>
      <w:r>
        <w:rPr>
          <w:rFonts w:hint="eastAsia" w:cs="宋体" w:asciiTheme="minorEastAsia" w:hAnsiTheme="minorEastAsia" w:eastAsiaTheme="minorEastAsia"/>
          <w:bCs/>
          <w:sz w:val="28"/>
          <w:szCs w:val="28"/>
        </w:rPr>
        <w:t>我司承诺对项目的院内公开招标最终确定的综合评定最优结果表示认可，并承诺不会对福建省肿瘤医院在本项目招标过程中的工作模式以及终止本项目招标的可能提出疑议。</w:t>
      </w:r>
    </w:p>
    <w:p w14:paraId="2EB1A0E9">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6F76E202">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我司承诺福建省肿瘤医院在授予我司合同时有权利增加补充相关内容。</w:t>
      </w:r>
    </w:p>
    <w:p w14:paraId="3EC95EFD">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投标人名称（全称并加公章）：</w:t>
      </w:r>
    </w:p>
    <w:p w14:paraId="4E4DD7EA">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投标人代表签字：</w:t>
      </w:r>
    </w:p>
    <w:p w14:paraId="1B611B34">
      <w:pPr>
        <w:tabs>
          <w:tab w:val="left" w:pos="5355"/>
        </w:tabs>
        <w:spacing w:before="100" w:beforeAutospacing="1" w:after="100" w:afterAutospacing="1" w:line="480" w:lineRule="auto"/>
        <w:rPr>
          <w:rFonts w:hint="eastAsia" w:asciiTheme="minorEastAsia" w:hAnsiTheme="minorEastAsia" w:eastAsiaTheme="minorEastAsia"/>
          <w:b/>
          <w:sz w:val="28"/>
          <w:szCs w:val="28"/>
        </w:rPr>
      </w:pPr>
      <w:r>
        <w:rPr>
          <w:rFonts w:hint="eastAsia" w:cs="宋体" w:asciiTheme="minorEastAsia" w:hAnsiTheme="minorEastAsia" w:eastAsiaTheme="minorEastAsia"/>
          <w:sz w:val="28"/>
          <w:szCs w:val="28"/>
        </w:rPr>
        <w:t>日期：     年    月   日</w:t>
      </w:r>
    </w:p>
    <w:p w14:paraId="775D62A5">
      <w:pPr>
        <w:spacing w:line="380" w:lineRule="exact"/>
        <w:rPr>
          <w:rFonts w:hint="eastAsia" w:asciiTheme="minorEastAsia" w:hAnsiTheme="minorEastAsia" w:eastAsiaTheme="minorEastAsia"/>
          <w:sz w:val="28"/>
          <w:szCs w:val="28"/>
        </w:rPr>
      </w:pPr>
    </w:p>
    <w:p w14:paraId="549E3C17">
      <w:pPr>
        <w:adjustRightInd/>
        <w:snapToGrid/>
        <w:spacing w:after="0"/>
        <w:rPr>
          <w:rFonts w:hint="eastAsia" w:asciiTheme="minorEastAsia" w:hAnsiTheme="minorEastAsia" w:eastAsiaTheme="minorEastAsia"/>
          <w:sz w:val="28"/>
          <w:szCs w:val="28"/>
        </w:rPr>
      </w:pPr>
      <w:r>
        <w:rPr>
          <w:rFonts w:hint="eastAsia" w:asciiTheme="minorEastAsia" w:hAnsiTheme="minorEastAsia" w:eastAsiaTheme="minorEastAsia"/>
          <w:sz w:val="28"/>
          <w:szCs w:val="28"/>
        </w:rPr>
        <w:br w:type="page"/>
      </w:r>
    </w:p>
    <w:p w14:paraId="27D9FD67">
      <w:pPr>
        <w:jc w:val="center"/>
        <w:rPr>
          <w:rFonts w:hint="eastAsia" w:asciiTheme="minorEastAsia" w:hAnsiTheme="minorEastAsia" w:eastAsiaTheme="minorEastAsia"/>
          <w:b/>
          <w:sz w:val="28"/>
          <w:szCs w:val="28"/>
        </w:rPr>
      </w:pPr>
      <w:r>
        <w:rPr>
          <w:rFonts w:asciiTheme="minorEastAsia" w:hAnsiTheme="minorEastAsia" w:eastAsiaTheme="minorEastAsia"/>
          <w:b/>
          <w:sz w:val="28"/>
          <w:szCs w:val="28"/>
        </w:rPr>
        <w:t>四、采购供应商资格承诺函</w:t>
      </w:r>
    </w:p>
    <w:p w14:paraId="70DB219F">
      <w:pPr>
        <w:pStyle w:val="45"/>
        <w:ind w:firstLine="480"/>
        <w:rPr>
          <w:rFonts w:cs="宋体" w:asciiTheme="minorEastAsia" w:hAnsiTheme="minorEastAsia" w:eastAsiaTheme="minorEastAsia"/>
          <w:bCs/>
        </w:rPr>
      </w:pPr>
      <w:r>
        <w:rPr>
          <w:rFonts w:cs="宋体" w:asciiTheme="minorEastAsia" w:hAnsiTheme="minorEastAsia" w:eastAsiaTheme="minorEastAsia"/>
          <w:bCs/>
        </w:rPr>
        <w:t>致：（采购人或采购代理机构）</w:t>
      </w:r>
    </w:p>
    <w:p w14:paraId="21A5BC5C">
      <w:pPr>
        <w:pStyle w:val="45"/>
        <w:ind w:firstLine="960"/>
        <w:rPr>
          <w:rFonts w:cs="宋体" w:asciiTheme="minorEastAsia" w:hAnsiTheme="minorEastAsia" w:eastAsiaTheme="minorEastAsia"/>
          <w:bCs/>
        </w:rPr>
      </w:pPr>
      <w:r>
        <w:rPr>
          <w:rFonts w:cs="宋体" w:asciiTheme="minorEastAsia" w:hAnsiTheme="minorEastAsia" w:eastAsiaTheme="minorEastAsia"/>
          <w:bCs/>
        </w:rPr>
        <w:t>单位名称(自然人姓名):</w:t>
      </w:r>
    </w:p>
    <w:p w14:paraId="6E37E8F7">
      <w:pPr>
        <w:pStyle w:val="45"/>
        <w:ind w:firstLine="960"/>
        <w:rPr>
          <w:rFonts w:cs="宋体" w:asciiTheme="minorEastAsia" w:hAnsiTheme="minorEastAsia" w:eastAsiaTheme="minorEastAsia"/>
          <w:bCs/>
        </w:rPr>
      </w:pPr>
      <w:r>
        <w:rPr>
          <w:rFonts w:cs="宋体" w:asciiTheme="minorEastAsia" w:hAnsiTheme="minorEastAsia" w:eastAsiaTheme="minorEastAsia"/>
          <w:bCs/>
        </w:rPr>
        <w:t>统一社会信用代码(自然人身份证号码):</w:t>
      </w:r>
    </w:p>
    <w:p w14:paraId="71F139DF">
      <w:pPr>
        <w:pStyle w:val="45"/>
        <w:ind w:firstLine="960"/>
        <w:rPr>
          <w:rFonts w:cs="宋体" w:asciiTheme="minorEastAsia" w:hAnsiTheme="minorEastAsia" w:eastAsiaTheme="minorEastAsia"/>
          <w:bCs/>
        </w:rPr>
      </w:pPr>
      <w:r>
        <w:rPr>
          <w:rFonts w:cs="宋体" w:asciiTheme="minorEastAsia" w:hAnsiTheme="minorEastAsia" w:eastAsiaTheme="minorEastAsia"/>
          <w:bCs/>
        </w:rPr>
        <w:t>法定代表人(负责人):</w:t>
      </w:r>
    </w:p>
    <w:p w14:paraId="4E4620D0">
      <w:pPr>
        <w:pStyle w:val="45"/>
        <w:ind w:firstLine="960"/>
        <w:rPr>
          <w:rFonts w:cs="宋体" w:asciiTheme="minorEastAsia" w:hAnsiTheme="minorEastAsia" w:eastAsiaTheme="minorEastAsia"/>
          <w:bCs/>
        </w:rPr>
      </w:pPr>
      <w:r>
        <w:rPr>
          <w:rFonts w:cs="宋体" w:asciiTheme="minorEastAsia" w:hAnsiTheme="minorEastAsia" w:eastAsiaTheme="minorEastAsia"/>
          <w:bCs/>
        </w:rPr>
        <w:t>联系地址和电话:</w:t>
      </w:r>
    </w:p>
    <w:p w14:paraId="7365AEB1">
      <w:pPr>
        <w:pStyle w:val="45"/>
        <w:ind w:firstLine="480"/>
        <w:rPr>
          <w:rFonts w:cs="宋体" w:asciiTheme="minorEastAsia" w:hAnsiTheme="minorEastAsia" w:eastAsiaTheme="minorEastAsia"/>
          <w:bCs/>
        </w:rPr>
      </w:pPr>
      <w:r>
        <w:rPr>
          <w:rFonts w:cs="宋体" w:asciiTheme="minorEastAsia" w:hAnsiTheme="minorEastAsia" w:eastAsiaTheme="minorEastAsia"/>
          <w:bCs/>
        </w:rPr>
        <w:t>我单位(本人)自愿参加本次政府采购活动，严格遵守《中华人民共和国政府采购法》及相关法律法规，坚守公开、公平公正和诚实信用等原则，依法诚信经营，并郑重承诺:</w:t>
      </w:r>
    </w:p>
    <w:p w14:paraId="1EEBA20E">
      <w:pPr>
        <w:pStyle w:val="45"/>
        <w:ind w:firstLine="480"/>
        <w:rPr>
          <w:rFonts w:cs="宋体" w:asciiTheme="minorEastAsia" w:hAnsiTheme="minorEastAsia" w:eastAsiaTheme="minorEastAsia"/>
          <w:bCs/>
        </w:rPr>
      </w:pPr>
      <w:r>
        <w:rPr>
          <w:rFonts w:cs="宋体" w:asciiTheme="minorEastAsia" w:hAnsiTheme="minorEastAsia" w:eastAsiaTheme="minorEastAsia"/>
          <w:bCs/>
        </w:rPr>
        <w:t>一、我单位(本人)具备采购文件要求以及《中华人民共和国政府采购法》第二十二条规定的条件:</w:t>
      </w:r>
    </w:p>
    <w:p w14:paraId="50B4C056">
      <w:pPr>
        <w:pStyle w:val="45"/>
        <w:ind w:firstLine="960"/>
        <w:rPr>
          <w:rFonts w:cs="宋体" w:asciiTheme="minorEastAsia" w:hAnsiTheme="minorEastAsia" w:eastAsiaTheme="minorEastAsia"/>
          <w:bCs/>
        </w:rPr>
      </w:pPr>
      <w:r>
        <w:rPr>
          <w:rFonts w:cs="宋体" w:asciiTheme="minorEastAsia" w:hAnsiTheme="minorEastAsia" w:eastAsiaTheme="minorEastAsia"/>
          <w:bCs/>
        </w:rPr>
        <w:t>1.具有独立承担民事责任的能力;</w:t>
      </w:r>
    </w:p>
    <w:p w14:paraId="4143877F">
      <w:pPr>
        <w:pStyle w:val="45"/>
        <w:ind w:firstLine="960"/>
        <w:rPr>
          <w:rFonts w:cs="宋体" w:asciiTheme="minorEastAsia" w:hAnsiTheme="minorEastAsia" w:eastAsiaTheme="minorEastAsia"/>
          <w:bCs/>
        </w:rPr>
      </w:pPr>
      <w:r>
        <w:rPr>
          <w:rFonts w:cs="宋体" w:asciiTheme="minorEastAsia" w:hAnsiTheme="minorEastAsia" w:eastAsiaTheme="minorEastAsia"/>
          <w:bCs/>
        </w:rPr>
        <w:t>2.具有良好的商业信誉和健全的财务会计制度;</w:t>
      </w:r>
    </w:p>
    <w:p w14:paraId="56B1EE53">
      <w:pPr>
        <w:pStyle w:val="45"/>
        <w:ind w:firstLine="960"/>
        <w:rPr>
          <w:rFonts w:cs="宋体" w:asciiTheme="minorEastAsia" w:hAnsiTheme="minorEastAsia" w:eastAsiaTheme="minorEastAsia"/>
          <w:bCs/>
        </w:rPr>
      </w:pPr>
      <w:r>
        <w:rPr>
          <w:rFonts w:cs="宋体" w:asciiTheme="minorEastAsia" w:hAnsiTheme="minorEastAsia" w:eastAsiaTheme="minorEastAsia"/>
          <w:bCs/>
        </w:rPr>
        <w:t>3.具有履行合同所必需的设备和专业技术能力;</w:t>
      </w:r>
    </w:p>
    <w:p w14:paraId="0310C22B">
      <w:pPr>
        <w:pStyle w:val="45"/>
        <w:ind w:firstLine="960"/>
        <w:rPr>
          <w:rFonts w:cs="宋体" w:asciiTheme="minorEastAsia" w:hAnsiTheme="minorEastAsia" w:eastAsiaTheme="minorEastAsia"/>
          <w:bCs/>
        </w:rPr>
      </w:pPr>
      <w:r>
        <w:rPr>
          <w:rFonts w:cs="宋体" w:asciiTheme="minorEastAsia" w:hAnsiTheme="minorEastAsia" w:eastAsiaTheme="minorEastAsia"/>
          <w:bCs/>
        </w:rPr>
        <w:t>4.有依法缴纳税收和社会保障资金的良好记录;</w:t>
      </w:r>
    </w:p>
    <w:p w14:paraId="34F5A132">
      <w:pPr>
        <w:pStyle w:val="45"/>
        <w:ind w:firstLine="960"/>
        <w:rPr>
          <w:rFonts w:cs="宋体" w:asciiTheme="minorEastAsia" w:hAnsiTheme="minorEastAsia" w:eastAsiaTheme="minorEastAsia"/>
          <w:bCs/>
        </w:rPr>
      </w:pPr>
      <w:r>
        <w:rPr>
          <w:rFonts w:cs="宋体" w:asciiTheme="minorEastAsia" w:hAnsiTheme="minorEastAsia" w:eastAsiaTheme="minorEastAsia"/>
          <w:bCs/>
        </w:rPr>
        <w:t>5.参加政府采购活动前三年内，在经营活动中没有重大违法记录；</w:t>
      </w:r>
    </w:p>
    <w:p w14:paraId="4E35D022">
      <w:pPr>
        <w:pStyle w:val="45"/>
        <w:ind w:firstLine="960"/>
        <w:rPr>
          <w:rFonts w:cs="宋体" w:asciiTheme="minorEastAsia" w:hAnsiTheme="minorEastAsia" w:eastAsiaTheme="minorEastAsia"/>
          <w:bCs/>
        </w:rPr>
      </w:pPr>
      <w:r>
        <w:rPr>
          <w:rFonts w:cs="宋体" w:asciiTheme="minorEastAsia" w:hAnsiTheme="minorEastAsia" w:eastAsiaTheme="minorEastAsia"/>
          <w:bCs/>
        </w:rPr>
        <w:t>6.法律、行政法规规定的其他条件。</w:t>
      </w:r>
    </w:p>
    <w:p w14:paraId="017E9873">
      <w:pPr>
        <w:pStyle w:val="45"/>
        <w:ind w:firstLine="480"/>
        <w:rPr>
          <w:rFonts w:cs="宋体" w:asciiTheme="minorEastAsia" w:hAnsiTheme="minorEastAsia" w:eastAsiaTheme="minorEastAsia"/>
          <w:bCs/>
        </w:rPr>
      </w:pPr>
      <w:r>
        <w:rPr>
          <w:rFonts w:cs="宋体" w:asciiTheme="minorEastAsia" w:hAnsiTheme="minorEastAsia" w:eastAsiaTheme="minorEastAsia"/>
          <w:bC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0AB1D0F">
      <w:pPr>
        <w:pStyle w:val="45"/>
        <w:ind w:firstLine="480"/>
        <w:rPr>
          <w:rFonts w:cs="宋体" w:asciiTheme="minorEastAsia" w:hAnsiTheme="minorEastAsia" w:eastAsiaTheme="minorEastAsia"/>
          <w:bCs/>
        </w:rPr>
      </w:pPr>
      <w:r>
        <w:rPr>
          <w:rFonts w:cs="宋体" w:asciiTheme="minorEastAsia" w:hAnsiTheme="minorEastAsia" w:eastAsiaTheme="minorEastAsia"/>
          <w:bCs/>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F86CBDF">
      <w:pPr>
        <w:pStyle w:val="45"/>
        <w:ind w:firstLine="480"/>
        <w:jc w:val="right"/>
        <w:rPr>
          <w:rFonts w:cs="宋体" w:asciiTheme="minorEastAsia" w:hAnsiTheme="minorEastAsia" w:eastAsiaTheme="minorEastAsia"/>
          <w:bCs/>
        </w:rPr>
      </w:pPr>
      <w:r>
        <w:rPr>
          <w:rFonts w:cs="宋体" w:asciiTheme="minorEastAsia" w:hAnsiTheme="minorEastAsia" w:eastAsiaTheme="minorEastAsia"/>
          <w:bCs/>
        </w:rPr>
        <w:t>供应商：名称(单位公章):</w:t>
      </w:r>
    </w:p>
    <w:p w14:paraId="21482652">
      <w:pPr>
        <w:pStyle w:val="45"/>
        <w:ind w:firstLine="480"/>
        <w:jc w:val="right"/>
        <w:rPr>
          <w:rFonts w:cs="宋体" w:asciiTheme="minorEastAsia" w:hAnsiTheme="minorEastAsia" w:eastAsiaTheme="minorEastAsia"/>
          <w:bCs/>
        </w:rPr>
      </w:pPr>
      <w:r>
        <w:rPr>
          <w:rFonts w:cs="宋体" w:asciiTheme="minorEastAsia" w:hAnsiTheme="minorEastAsia" w:eastAsiaTheme="minorEastAsia"/>
          <w:bCs/>
        </w:rPr>
        <w:t>日期：　　年　　月　　日</w:t>
      </w:r>
    </w:p>
    <w:p w14:paraId="67F2D873">
      <w:pPr>
        <w:pStyle w:val="45"/>
        <w:ind w:firstLine="480"/>
        <w:rPr>
          <w:rFonts w:cs="宋体" w:asciiTheme="minorEastAsia" w:hAnsiTheme="minorEastAsia" w:eastAsiaTheme="minorEastAsia"/>
          <w:bCs/>
        </w:rPr>
      </w:pPr>
      <w:r>
        <w:rPr>
          <w:rFonts w:cs="宋体" w:asciiTheme="minorEastAsia" w:hAnsiTheme="minorEastAsia" w:eastAsiaTheme="minorEastAsia"/>
          <w:bCs/>
        </w:rPr>
        <w:t>注：</w:t>
      </w:r>
    </w:p>
    <w:p w14:paraId="6A66AA9D">
      <w:pPr>
        <w:pStyle w:val="45"/>
        <w:ind w:firstLine="960"/>
        <w:rPr>
          <w:rFonts w:cs="宋体" w:asciiTheme="minorEastAsia" w:hAnsiTheme="minorEastAsia" w:eastAsiaTheme="minorEastAsia"/>
          <w:bCs/>
        </w:rPr>
      </w:pPr>
      <w:r>
        <w:rPr>
          <w:rFonts w:cs="宋体" w:asciiTheme="minorEastAsia" w:hAnsiTheme="minorEastAsia" w:eastAsiaTheme="minorEastAsia"/>
          <w:bCs/>
        </w:rPr>
        <w:t>1.我单位(本人)专指参加政府采购活动的供应商(含自然人)；</w:t>
      </w:r>
    </w:p>
    <w:p w14:paraId="7FAC2605">
      <w:pPr>
        <w:pStyle w:val="45"/>
        <w:ind w:firstLine="960"/>
        <w:rPr>
          <w:rFonts w:cs="宋体" w:asciiTheme="minorEastAsia" w:hAnsiTheme="minorEastAsia" w:eastAsiaTheme="minorEastAsia"/>
          <w:bCs/>
        </w:rPr>
      </w:pPr>
      <w:r>
        <w:rPr>
          <w:rFonts w:cs="宋体" w:asciiTheme="minorEastAsia" w:hAnsiTheme="minorEastAsia" w:eastAsiaTheme="minorEastAsia"/>
          <w:bCs/>
        </w:rPr>
        <w:t>2.资格承诺的供应商应在投标(响应)文件中按此模板提供承诺函，否则，视为未按照招标文件规定提交投标人的资格及资信文件，按资格审查不通过处理。</w:t>
      </w:r>
    </w:p>
    <w:p w14:paraId="4412FF53">
      <w:pPr>
        <w:spacing w:line="380" w:lineRule="exact"/>
        <w:rPr>
          <w:rFonts w:hint="eastAsia" w:asciiTheme="minorEastAsia" w:hAnsiTheme="minorEastAsia" w:eastAsiaTheme="minorEastAsia"/>
          <w:sz w:val="28"/>
          <w:szCs w:val="28"/>
        </w:rPr>
      </w:pPr>
    </w:p>
    <w:p w14:paraId="6499E7C3">
      <w:pPr>
        <w:spacing w:line="380" w:lineRule="exact"/>
        <w:ind w:firstLine="560" w:firstLineChars="200"/>
        <w:rPr>
          <w:rFonts w:hint="eastAsia" w:asciiTheme="minorEastAsia" w:hAnsiTheme="minorEastAsia" w:eastAsiaTheme="minorEastAsia"/>
          <w:sz w:val="28"/>
          <w:szCs w:val="28"/>
        </w:rPr>
      </w:pPr>
    </w:p>
    <w:p w14:paraId="079D3AA6">
      <w:pPr>
        <w:adjustRightInd/>
        <w:snapToGrid/>
        <w:spacing w:after="0"/>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br w:type="page"/>
      </w:r>
    </w:p>
    <w:p w14:paraId="7F5D0B03">
      <w:pPr>
        <w:tabs>
          <w:tab w:val="left" w:pos="1600"/>
        </w:tabs>
        <w:spacing w:line="560" w:lineRule="exact"/>
        <w:ind w:left="330" w:firstLine="240"/>
        <w:jc w:val="center"/>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t>五、投标人提交的其它材料</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4329">
    <w:pPr>
      <w:rPr>
        <w:rFonts w:ascii="Times New Roman" w:hAnsi="Times New Roman" w:eastAsia="宋体"/>
        <w:sz w:val="18"/>
        <w:szCs w:val="18"/>
      </w:rPr>
    </w:pPr>
    <w:r>
      <w:rPr>
        <w:rFonts w:ascii="Times New Roman" w:hAnsi="Times New Roman"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258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258445"/>
                      </a:xfrm>
                      <a:prstGeom prst="rect">
                        <a:avLst/>
                      </a:prstGeom>
                      <a:noFill/>
                      <a:ln w="15875">
                        <a:noFill/>
                      </a:ln>
                    </wps:spPr>
                    <wps:txbx>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20.35pt;width:4.55pt;mso-position-horizontal:center;mso-position-horizontal-relative:margin;mso-wrap-style:none;z-index:251659264;mso-width-relative:page;mso-height-relative:page;" filled="f" stroked="f" coordsize="21600,21600" o:gfxdata="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6CykH1AAAAAIBAAAPAAAAAAAAAAEAIAAAACIAAABkcnMv&#10;ZG93bnJldi54bWxQSwECFAAUAAAACACHTuJACAbuzM4BAACUAwAADgAAAAAAAAABACAAAAAjAQAA&#10;ZHJzL2Uyb0RvYy54bWxQSwUGAAAAAAYABgBZAQAAYwUAAAAA&#10;">
              <v:fill on="f" focussize="0,0"/>
              <v:stroke on="f" weight="1.25pt"/>
              <v:imagedata o:title=""/>
              <o:lock v:ext="edit" aspectratio="f"/>
              <v:textbox inset="0mm,0mm,0mm,0mm" style="mso-fit-shape-to-text:t;">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050130"/>
    <w:multiLevelType w:val="multilevel"/>
    <w:tmpl w:val="46050130"/>
    <w:lvl w:ilvl="0" w:tentative="0">
      <w:start w:val="1"/>
      <w:numFmt w:val="decimal"/>
      <w:lvlText w:val="%1."/>
      <w:lvlJc w:val="left"/>
      <w:pPr>
        <w:ind w:left="704"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A3D01F7"/>
    <w:multiLevelType w:val="multilevel"/>
    <w:tmpl w:val="6A3D01F7"/>
    <w:lvl w:ilvl="0" w:tentative="0">
      <w:start w:val="1"/>
      <w:numFmt w:val="decimal"/>
      <w:lvlText w:val="%1."/>
      <w:lvlJc w:val="left"/>
      <w:pPr>
        <w:ind w:left="810" w:hanging="420"/>
      </w:p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89"/>
    <w:rsid w:val="00013AC5"/>
    <w:rsid w:val="000320C1"/>
    <w:rsid w:val="00065CB7"/>
    <w:rsid w:val="00092AEB"/>
    <w:rsid w:val="000B3136"/>
    <w:rsid w:val="000B7CA6"/>
    <w:rsid w:val="001B5C27"/>
    <w:rsid w:val="001B6716"/>
    <w:rsid w:val="001F51BB"/>
    <w:rsid w:val="0021062C"/>
    <w:rsid w:val="00211344"/>
    <w:rsid w:val="00225DC2"/>
    <w:rsid w:val="00330428"/>
    <w:rsid w:val="00336AC4"/>
    <w:rsid w:val="0036389C"/>
    <w:rsid w:val="003922F0"/>
    <w:rsid w:val="003A6874"/>
    <w:rsid w:val="003A7B36"/>
    <w:rsid w:val="003E144E"/>
    <w:rsid w:val="003F3649"/>
    <w:rsid w:val="003F5A88"/>
    <w:rsid w:val="004016DF"/>
    <w:rsid w:val="00416AAC"/>
    <w:rsid w:val="00446A47"/>
    <w:rsid w:val="0046656A"/>
    <w:rsid w:val="004A2659"/>
    <w:rsid w:val="004C23E5"/>
    <w:rsid w:val="00502F57"/>
    <w:rsid w:val="00565257"/>
    <w:rsid w:val="0059776B"/>
    <w:rsid w:val="005F00CE"/>
    <w:rsid w:val="0060707B"/>
    <w:rsid w:val="00607468"/>
    <w:rsid w:val="006464A9"/>
    <w:rsid w:val="00690C13"/>
    <w:rsid w:val="006B0872"/>
    <w:rsid w:val="006F3981"/>
    <w:rsid w:val="00740DD3"/>
    <w:rsid w:val="00761396"/>
    <w:rsid w:val="00797D47"/>
    <w:rsid w:val="007B2333"/>
    <w:rsid w:val="007C3AA7"/>
    <w:rsid w:val="007C76F4"/>
    <w:rsid w:val="00806F36"/>
    <w:rsid w:val="00857633"/>
    <w:rsid w:val="0088152F"/>
    <w:rsid w:val="00885C59"/>
    <w:rsid w:val="008B2DC2"/>
    <w:rsid w:val="008E5D2A"/>
    <w:rsid w:val="009339AC"/>
    <w:rsid w:val="0093412E"/>
    <w:rsid w:val="009341D8"/>
    <w:rsid w:val="00947491"/>
    <w:rsid w:val="00952E84"/>
    <w:rsid w:val="00960B8D"/>
    <w:rsid w:val="009636DE"/>
    <w:rsid w:val="009B2E41"/>
    <w:rsid w:val="009C77EE"/>
    <w:rsid w:val="00A16AD3"/>
    <w:rsid w:val="00A41555"/>
    <w:rsid w:val="00A41C1C"/>
    <w:rsid w:val="00A75611"/>
    <w:rsid w:val="00A7622D"/>
    <w:rsid w:val="00AA0C87"/>
    <w:rsid w:val="00AB0757"/>
    <w:rsid w:val="00AB0BC2"/>
    <w:rsid w:val="00AE21F5"/>
    <w:rsid w:val="00B25931"/>
    <w:rsid w:val="00B32ADB"/>
    <w:rsid w:val="00B3455A"/>
    <w:rsid w:val="00B35FB2"/>
    <w:rsid w:val="00B463E5"/>
    <w:rsid w:val="00B74E36"/>
    <w:rsid w:val="00BB14F3"/>
    <w:rsid w:val="00C23C58"/>
    <w:rsid w:val="00C951E7"/>
    <w:rsid w:val="00CA0C34"/>
    <w:rsid w:val="00CB3BD4"/>
    <w:rsid w:val="00CE13ED"/>
    <w:rsid w:val="00CF2EAB"/>
    <w:rsid w:val="00D114D7"/>
    <w:rsid w:val="00D42D09"/>
    <w:rsid w:val="00D44F14"/>
    <w:rsid w:val="00D522A1"/>
    <w:rsid w:val="00DD38FE"/>
    <w:rsid w:val="00DE52CD"/>
    <w:rsid w:val="00DE6E02"/>
    <w:rsid w:val="00DE7BA8"/>
    <w:rsid w:val="00DF375A"/>
    <w:rsid w:val="00E27523"/>
    <w:rsid w:val="00E360F1"/>
    <w:rsid w:val="00E816F8"/>
    <w:rsid w:val="00E95090"/>
    <w:rsid w:val="00EA0386"/>
    <w:rsid w:val="00EA5D85"/>
    <w:rsid w:val="00EB1D74"/>
    <w:rsid w:val="00EB6196"/>
    <w:rsid w:val="00ED0F5B"/>
    <w:rsid w:val="00EE1F3B"/>
    <w:rsid w:val="00EF3C6A"/>
    <w:rsid w:val="00F5251D"/>
    <w:rsid w:val="00F63488"/>
    <w:rsid w:val="00F70354"/>
    <w:rsid w:val="00F71189"/>
    <w:rsid w:val="00FC01C5"/>
    <w:rsid w:val="00FE0D24"/>
    <w:rsid w:val="01054B7D"/>
    <w:rsid w:val="042267CA"/>
    <w:rsid w:val="04B20547"/>
    <w:rsid w:val="09353954"/>
    <w:rsid w:val="0D054058"/>
    <w:rsid w:val="0D883645"/>
    <w:rsid w:val="11D87DAF"/>
    <w:rsid w:val="12710E53"/>
    <w:rsid w:val="1AAC0209"/>
    <w:rsid w:val="1E8659A4"/>
    <w:rsid w:val="22A06B02"/>
    <w:rsid w:val="327171DF"/>
    <w:rsid w:val="35E163DB"/>
    <w:rsid w:val="4EC263CD"/>
    <w:rsid w:val="5048445D"/>
    <w:rsid w:val="50CB7EDC"/>
    <w:rsid w:val="665B2EE3"/>
    <w:rsid w:val="6A830358"/>
    <w:rsid w:val="6C3800D4"/>
    <w:rsid w:val="731D5825"/>
    <w:rsid w:val="733E270E"/>
    <w:rsid w:val="784B5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14:ligatures w14:val="standardContextual"/>
    </w:rPr>
  </w:style>
  <w:style w:type="paragraph" w:styleId="3">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4">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5">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6">
    <w:name w:val="heading 4"/>
    <w:basedOn w:val="1"/>
    <w:next w:val="1"/>
    <w:link w:val="26"/>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7">
    <w:name w:val="heading 5"/>
    <w:basedOn w:val="1"/>
    <w:next w:val="1"/>
    <w:link w:val="27"/>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8">
    <w:name w:val="heading 6"/>
    <w:basedOn w:val="1"/>
    <w:next w:val="1"/>
    <w:link w:val="28"/>
    <w:semiHidden/>
    <w:unhideWhenUsed/>
    <w:qFormat/>
    <w:uiPriority w:val="9"/>
    <w:pPr>
      <w:keepNext/>
      <w:keepLines/>
      <w:spacing w:before="40"/>
      <w:outlineLvl w:val="5"/>
    </w:pPr>
    <w:rPr>
      <w:rFonts w:cstheme="majorBidi"/>
      <w:b/>
      <w:bCs/>
      <w:color w:val="376092" w:themeColor="accent1" w:themeShade="BF"/>
    </w:rPr>
  </w:style>
  <w:style w:type="paragraph" w:styleId="9">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7"/>
    <w:semiHidden/>
    <w:unhideWhenUsed/>
    <w:qFormat/>
    <w:uiPriority w:val="99"/>
    <w:pPr>
      <w:spacing w:after="120"/>
    </w:pPr>
  </w:style>
  <w:style w:type="paragraph" w:styleId="12">
    <w:name w:val="Normal Indent"/>
    <w:basedOn w:val="1"/>
    <w:link w:val="46"/>
    <w:qFormat/>
    <w:uiPriority w:val="0"/>
    <w:pPr>
      <w:adjustRightInd/>
      <w:snapToGrid/>
      <w:spacing w:after="0"/>
      <w:ind w:firstLine="420"/>
    </w:pPr>
    <w:rPr>
      <w:rFonts w:ascii="Times New Roman" w:hAnsi="Times New Roman" w:eastAsia="宋体"/>
      <w:sz w:val="20"/>
      <w:szCs w:val="20"/>
    </w:rPr>
  </w:style>
  <w:style w:type="paragraph" w:styleId="13">
    <w:name w:val="footer"/>
    <w:basedOn w:val="1"/>
    <w:link w:val="42"/>
    <w:unhideWhenUsed/>
    <w:qFormat/>
    <w:uiPriority w:val="99"/>
    <w:pPr>
      <w:tabs>
        <w:tab w:val="center" w:pos="4153"/>
        <w:tab w:val="right" w:pos="8306"/>
      </w:tabs>
    </w:pPr>
    <w:rPr>
      <w:sz w:val="18"/>
      <w:szCs w:val="18"/>
    </w:rPr>
  </w:style>
  <w:style w:type="paragraph" w:styleId="14">
    <w:name w:val="header"/>
    <w:basedOn w:val="1"/>
    <w:link w:val="41"/>
    <w:unhideWhenUsed/>
    <w:qFormat/>
    <w:uiPriority w:val="99"/>
    <w:pPr>
      <w:tabs>
        <w:tab w:val="center" w:pos="4153"/>
        <w:tab w:val="right" w:pos="8306"/>
      </w:tabs>
      <w:jc w:val="center"/>
    </w:pPr>
    <w:rPr>
      <w:sz w:val="18"/>
      <w:szCs w:val="18"/>
    </w:rPr>
  </w:style>
  <w:style w:type="paragraph" w:styleId="15">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Body Text 2"/>
    <w:basedOn w:val="1"/>
    <w:link w:val="43"/>
    <w:qFormat/>
    <w:uiPriority w:val="0"/>
    <w:pPr>
      <w:spacing w:after="120" w:line="480" w:lineRule="auto"/>
    </w:pPr>
  </w:style>
  <w:style w:type="paragraph" w:styleId="17">
    <w:name w:val="HTML Preformatted"/>
    <w:basedOn w:val="1"/>
    <w:link w:val="4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paragraph" w:styleId="18">
    <w:name w:val="Normal (Web)"/>
    <w:basedOn w:val="1"/>
    <w:unhideWhenUsed/>
    <w:qFormat/>
    <w:uiPriority w:val="99"/>
    <w:pPr>
      <w:spacing w:before="100" w:beforeAutospacing="1" w:after="100" w:afterAutospacing="1"/>
    </w:pPr>
    <w:rPr>
      <w:sz w:val="24"/>
    </w:rPr>
  </w:style>
  <w:style w:type="paragraph" w:styleId="19">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2">
    <w:name w:val="Hyperlink"/>
    <w:basedOn w:val="21"/>
    <w:qFormat/>
    <w:uiPriority w:val="0"/>
    <w:rPr>
      <w:color w:val="0000FF" w:themeColor="hyperlink"/>
      <w:u w:val="single"/>
      <w14:textFill>
        <w14:solidFill>
          <w14:schemeClr w14:val="hlink"/>
        </w14:solidFill>
      </w14:textFill>
    </w:rPr>
  </w:style>
  <w:style w:type="character" w:customStyle="1" w:styleId="23">
    <w:name w:val="标题 1 字符"/>
    <w:basedOn w:val="21"/>
    <w:link w:val="3"/>
    <w:qFormat/>
    <w:uiPriority w:val="9"/>
    <w:rPr>
      <w:rFonts w:asciiTheme="majorHAnsi" w:hAnsiTheme="majorHAnsi" w:eastAsiaTheme="majorEastAsia" w:cstheme="majorBidi"/>
      <w:color w:val="376092" w:themeColor="accent1" w:themeShade="BF"/>
      <w:sz w:val="48"/>
      <w:szCs w:val="48"/>
    </w:rPr>
  </w:style>
  <w:style w:type="character" w:customStyle="1" w:styleId="24">
    <w:name w:val="标题 2 字符"/>
    <w:basedOn w:val="21"/>
    <w:link w:val="4"/>
    <w:semiHidden/>
    <w:qFormat/>
    <w:uiPriority w:val="9"/>
    <w:rPr>
      <w:rFonts w:asciiTheme="majorHAnsi" w:hAnsiTheme="majorHAnsi" w:eastAsiaTheme="majorEastAsia" w:cstheme="majorBidi"/>
      <w:color w:val="376092" w:themeColor="accent1" w:themeShade="BF"/>
      <w:sz w:val="40"/>
      <w:szCs w:val="40"/>
    </w:rPr>
  </w:style>
  <w:style w:type="character" w:customStyle="1" w:styleId="25">
    <w:name w:val="标题 3 字符"/>
    <w:basedOn w:val="21"/>
    <w:link w:val="5"/>
    <w:semiHidden/>
    <w:qFormat/>
    <w:uiPriority w:val="9"/>
    <w:rPr>
      <w:rFonts w:asciiTheme="majorHAnsi" w:hAnsiTheme="majorHAnsi" w:eastAsiaTheme="majorEastAsia" w:cstheme="majorBidi"/>
      <w:color w:val="376092" w:themeColor="accent1" w:themeShade="BF"/>
      <w:sz w:val="32"/>
      <w:szCs w:val="32"/>
    </w:rPr>
  </w:style>
  <w:style w:type="character" w:customStyle="1" w:styleId="26">
    <w:name w:val="标题 4 字符"/>
    <w:basedOn w:val="21"/>
    <w:link w:val="6"/>
    <w:semiHidden/>
    <w:qFormat/>
    <w:uiPriority w:val="9"/>
    <w:rPr>
      <w:rFonts w:cstheme="majorBidi"/>
      <w:color w:val="376092" w:themeColor="accent1" w:themeShade="BF"/>
      <w:sz w:val="28"/>
      <w:szCs w:val="28"/>
    </w:rPr>
  </w:style>
  <w:style w:type="character" w:customStyle="1" w:styleId="27">
    <w:name w:val="标题 5 字符"/>
    <w:basedOn w:val="21"/>
    <w:link w:val="7"/>
    <w:semiHidden/>
    <w:qFormat/>
    <w:uiPriority w:val="9"/>
    <w:rPr>
      <w:rFonts w:cstheme="majorBidi"/>
      <w:color w:val="376092" w:themeColor="accent1" w:themeShade="BF"/>
      <w:sz w:val="24"/>
      <w:szCs w:val="24"/>
    </w:rPr>
  </w:style>
  <w:style w:type="character" w:customStyle="1" w:styleId="28">
    <w:name w:val="标题 6 字符"/>
    <w:basedOn w:val="21"/>
    <w:link w:val="8"/>
    <w:semiHidden/>
    <w:qFormat/>
    <w:uiPriority w:val="9"/>
    <w:rPr>
      <w:rFonts w:cstheme="majorBidi"/>
      <w:b/>
      <w:bCs/>
      <w:color w:val="376092" w:themeColor="accent1" w:themeShade="BF"/>
    </w:rPr>
  </w:style>
  <w:style w:type="character" w:customStyle="1" w:styleId="29">
    <w:name w:val="标题 7 字符"/>
    <w:basedOn w:val="21"/>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1"/>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1"/>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1"/>
    <w:link w:val="19"/>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99"/>
    <w:pPr>
      <w:ind w:left="720"/>
      <w:contextualSpacing/>
    </w:pPr>
  </w:style>
  <w:style w:type="character" w:customStyle="1" w:styleId="37">
    <w:name w:val="Intense Emphasis"/>
    <w:basedOn w:val="21"/>
    <w:qFormat/>
    <w:uiPriority w:val="21"/>
    <w:rPr>
      <w:i/>
      <w:iCs/>
      <w:color w:val="376092" w:themeColor="accent1" w:themeShade="BF"/>
    </w:rPr>
  </w:style>
  <w:style w:type="paragraph" w:styleId="38">
    <w:name w:val="Intense Quote"/>
    <w:basedOn w:val="1"/>
    <w:next w:val="1"/>
    <w:link w:val="39"/>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9">
    <w:name w:val="明显引用 字符"/>
    <w:basedOn w:val="21"/>
    <w:link w:val="38"/>
    <w:qFormat/>
    <w:uiPriority w:val="30"/>
    <w:rPr>
      <w:i/>
      <w:iCs/>
      <w:color w:val="376092" w:themeColor="accent1" w:themeShade="BF"/>
    </w:rPr>
  </w:style>
  <w:style w:type="character" w:customStyle="1" w:styleId="40">
    <w:name w:val="Intense Reference"/>
    <w:basedOn w:val="21"/>
    <w:qFormat/>
    <w:uiPriority w:val="32"/>
    <w:rPr>
      <w:b/>
      <w:bCs/>
      <w:smallCaps/>
      <w:color w:val="376092" w:themeColor="accent1" w:themeShade="BF"/>
      <w:spacing w:val="5"/>
    </w:rPr>
  </w:style>
  <w:style w:type="character" w:customStyle="1" w:styleId="41">
    <w:name w:val="页眉 字符"/>
    <w:basedOn w:val="21"/>
    <w:link w:val="14"/>
    <w:qFormat/>
    <w:uiPriority w:val="99"/>
    <w:rPr>
      <w:sz w:val="18"/>
      <w:szCs w:val="18"/>
    </w:rPr>
  </w:style>
  <w:style w:type="character" w:customStyle="1" w:styleId="42">
    <w:name w:val="页脚 字符"/>
    <w:basedOn w:val="21"/>
    <w:link w:val="13"/>
    <w:qFormat/>
    <w:uiPriority w:val="99"/>
    <w:rPr>
      <w:sz w:val="18"/>
      <w:szCs w:val="18"/>
    </w:rPr>
  </w:style>
  <w:style w:type="character" w:customStyle="1" w:styleId="43">
    <w:name w:val="正文文本 2 字符"/>
    <w:basedOn w:val="21"/>
    <w:link w:val="16"/>
    <w:qFormat/>
    <w:uiPriority w:val="0"/>
    <w:rPr>
      <w:rFonts w:ascii="Tahoma" w:hAnsi="Tahoma" w:eastAsia="微软雅黑" w:cs="Times New Roman"/>
      <w:kern w:val="0"/>
      <w:sz w:val="22"/>
    </w:rPr>
  </w:style>
  <w:style w:type="character" w:customStyle="1" w:styleId="44">
    <w:name w:val="HTML 预设格式 字符"/>
    <w:basedOn w:val="21"/>
    <w:link w:val="17"/>
    <w:qFormat/>
    <w:uiPriority w:val="0"/>
    <w:rPr>
      <w:rFonts w:ascii="宋体" w:hAnsi="宋体" w:eastAsia="宋体" w:cs="Times New Roman"/>
      <w:kern w:val="0"/>
      <w:sz w:val="24"/>
      <w:szCs w:val="24"/>
    </w:rPr>
  </w:style>
  <w:style w:type="paragraph" w:customStyle="1" w:styleId="45">
    <w:name w:val="null3"/>
    <w:qFormat/>
    <w:uiPriority w:val="0"/>
    <w:rPr>
      <w:rFonts w:hint="eastAsia" w:ascii="Calibri" w:hAnsi="Calibri" w:eastAsia="宋体" w:cs="Times New Roman"/>
      <w:kern w:val="0"/>
      <w:sz w:val="20"/>
      <w:szCs w:val="20"/>
      <w:lang w:val="en-US" w:eastAsia="zh-CN" w:bidi="ar-SA"/>
      <w14:ligatures w14:val="standardContextual"/>
    </w:rPr>
  </w:style>
  <w:style w:type="character" w:customStyle="1" w:styleId="46">
    <w:name w:val="正文缩进 字符"/>
    <w:link w:val="12"/>
    <w:qFormat/>
    <w:uiPriority w:val="0"/>
    <w:rPr>
      <w:rFonts w:ascii="Times New Roman" w:hAnsi="Times New Roman" w:eastAsia="宋体" w:cs="Times New Roman"/>
      <w:kern w:val="0"/>
      <w:sz w:val="20"/>
      <w:szCs w:val="20"/>
    </w:rPr>
  </w:style>
  <w:style w:type="character" w:customStyle="1" w:styleId="47">
    <w:name w:val="正文文本 字符"/>
    <w:basedOn w:val="21"/>
    <w:link w:val="2"/>
    <w:semiHidden/>
    <w:qFormat/>
    <w:uiPriority w:val="99"/>
    <w:rPr>
      <w:rFonts w:ascii="Tahoma" w:hAnsi="Tahoma" w:eastAsia="微软雅黑" w:cs="Times New Roman"/>
      <w:kern w:val="0"/>
      <w:sz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E85D20-C8A4-4D5B-8EFB-88E438883D6C}">
  <ds:schemaRefs/>
</ds:datastoreItem>
</file>

<file path=docProps/app.xml><?xml version="1.0" encoding="utf-8"?>
<Properties xmlns="http://schemas.openxmlformats.org/officeDocument/2006/extended-properties" xmlns:vt="http://schemas.openxmlformats.org/officeDocument/2006/docPropsVTypes">
  <Template>Normal</Template>
  <Pages>23</Pages>
  <Words>6363</Words>
  <Characters>6628</Characters>
  <Lines>80</Lines>
  <Paragraphs>22</Paragraphs>
  <TotalTime>16</TotalTime>
  <ScaleCrop>false</ScaleCrop>
  <LinksUpToDate>false</LinksUpToDate>
  <CharactersWithSpaces>6780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2024-11-04T07:36:00Z</dcterms:created>
  <dc:creator>Admin</dc:creator>
  <cp:lastModifiedBy>庄若颖</cp:lastModifiedBy>
  <cp:lastPrinted>2025-12-11T08:13:00Z</cp:lastPrinted>
  <dcterms:modified xsi:type="dcterms:W3CDTF">2025-12-11T08:34:25Z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eyJoZGlkIjoiZjNiYWRkZGMyNTA5NWU4NWIzYzk3MDA3YTY2NmI0N2QiLCJ1c2VySWQiOiIxNzI4MzA0MDQ0In0=</vt:lpwstr>
  </property>
  <property fmtid="{D5CDD505-2E9C-101B-9397-08002B2CF9AE}" pid="3" name="KSOProductBuildVer">
    <vt:lpwstr>2052-12.1.0.23542</vt:lpwstr>
  </property>
  <property fmtid="{D5CDD505-2E9C-101B-9397-08002B2CF9AE}" pid="4" name="ICV">
    <vt:lpwstr>861B1BF281134B6CB4492F6302318652_13</vt:lpwstr>
  </property>
</Properties>
</file>