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94D47">
      <w:pPr>
        <w:pStyle w:val="19"/>
        <w:spacing w:before="75" w:beforeAutospacing="0" w:after="75" w:afterAutospacing="0"/>
        <w:jc w:val="center"/>
        <w:rPr>
          <w:rFonts w:ascii="宋体" w:hAnsi="宋体" w:eastAsia="宋体" w:cs="宋体"/>
          <w:b/>
          <w:bCs/>
          <w:sz w:val="32"/>
          <w:szCs w:val="32"/>
        </w:rPr>
      </w:pPr>
    </w:p>
    <w:p w14:paraId="01679886">
      <w:pPr>
        <w:jc w:val="center"/>
        <w:rPr>
          <w:rFonts w:ascii="宋体" w:hAnsi="宋体" w:eastAsia="宋体" w:cs="宋体"/>
          <w:b/>
          <w:bCs/>
          <w:color w:val="404040"/>
          <w:sz w:val="32"/>
          <w:szCs w:val="32"/>
        </w:rPr>
      </w:pPr>
      <w:bookmarkStart w:id="0" w:name="_Hlk190868338"/>
      <w:r>
        <w:rPr>
          <w:rFonts w:hint="eastAsia" w:ascii="宋体" w:hAnsi="宋体" w:eastAsia="宋体" w:cs="宋体"/>
          <w:b/>
          <w:bCs/>
          <w:color w:val="404040"/>
          <w:sz w:val="32"/>
          <w:szCs w:val="32"/>
          <w:lang w:val="en-US" w:eastAsia="zh-CN"/>
        </w:rPr>
        <w:t>福建省肿瘤医院外科楼加装发光字标识项目</w:t>
      </w:r>
      <w:bookmarkEnd w:id="0"/>
      <w:r>
        <w:rPr>
          <w:rFonts w:hint="eastAsia" w:ascii="宋体" w:hAnsi="宋体" w:eastAsia="宋体" w:cs="宋体"/>
          <w:b/>
          <w:bCs/>
          <w:color w:val="404040"/>
          <w:sz w:val="32"/>
          <w:szCs w:val="32"/>
          <w:lang w:val="en-US" w:eastAsia="zh-CN"/>
        </w:rPr>
        <w:t>招标公告</w:t>
      </w:r>
    </w:p>
    <w:p w14:paraId="266AEA9E">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一、招标项目概况和范围</w:t>
      </w:r>
      <w:bookmarkStart w:id="1" w:name="_GoBack"/>
      <w:bookmarkEnd w:id="1"/>
    </w:p>
    <w:p w14:paraId="329D8F5B">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项目名称：福建省肿瘤医院外科楼加装发光字标识项目</w:t>
      </w:r>
    </w:p>
    <w:p w14:paraId="5DFC5E5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项目地点：福马路420号。</w:t>
      </w:r>
    </w:p>
    <w:p w14:paraId="03E21B8A">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招标范围和内容：详见本项目清单。</w:t>
      </w:r>
    </w:p>
    <w:p w14:paraId="12AF6050">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承包方式：包工包料</w:t>
      </w:r>
      <w:r>
        <w:rPr>
          <w:rFonts w:hint="eastAsia" w:ascii="宋体" w:hAnsi="宋体" w:eastAsia="宋体" w:cs="宋体"/>
          <w:color w:val="404040"/>
          <w:sz w:val="26"/>
          <w:szCs w:val="26"/>
          <w:highlight w:val="none"/>
          <w:lang w:eastAsia="zh-CN"/>
        </w:rPr>
        <w:t>，</w:t>
      </w:r>
      <w:r>
        <w:rPr>
          <w:rFonts w:hint="eastAsia" w:ascii="宋体" w:hAnsi="宋体" w:eastAsia="宋体" w:cs="宋体"/>
          <w:color w:val="404040"/>
          <w:sz w:val="26"/>
          <w:szCs w:val="26"/>
          <w:highlight w:val="none"/>
          <w:lang w:val="en-US" w:eastAsia="zh-CN"/>
        </w:rPr>
        <w:t>交钥匙模式</w:t>
      </w:r>
      <w:r>
        <w:rPr>
          <w:rFonts w:hint="eastAsia" w:ascii="宋体" w:hAnsi="宋体" w:eastAsia="宋体" w:cs="宋体"/>
          <w:color w:val="404040"/>
          <w:sz w:val="26"/>
          <w:szCs w:val="26"/>
          <w:highlight w:val="none"/>
        </w:rPr>
        <w:t>。</w:t>
      </w:r>
    </w:p>
    <w:p w14:paraId="2A274B0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sz w:val="26"/>
          <w:szCs w:val="26"/>
          <w:highlight w:val="none"/>
        </w:rPr>
        <w:t>工期要求：合同签订后，接甲方通知后，</w:t>
      </w:r>
      <w:r>
        <w:rPr>
          <w:rFonts w:hint="eastAsia" w:ascii="宋体" w:hAnsi="宋体" w:eastAsia="宋体" w:cs="宋体"/>
          <w:sz w:val="26"/>
          <w:szCs w:val="26"/>
          <w:highlight w:val="none"/>
          <w:lang w:val="en-US" w:eastAsia="zh-CN"/>
        </w:rPr>
        <w:t>25</w:t>
      </w:r>
      <w:r>
        <w:rPr>
          <w:rFonts w:hint="eastAsia" w:ascii="宋体" w:hAnsi="宋体" w:eastAsia="宋体" w:cs="宋体"/>
          <w:sz w:val="26"/>
          <w:szCs w:val="26"/>
          <w:highlight w:val="none"/>
        </w:rPr>
        <w:t>个</w:t>
      </w:r>
      <w:r>
        <w:rPr>
          <w:rFonts w:hint="eastAsia" w:ascii="宋体" w:hAnsi="宋体" w:eastAsia="宋体" w:cs="宋体"/>
          <w:sz w:val="26"/>
          <w:szCs w:val="26"/>
          <w:highlight w:val="none"/>
          <w:lang w:eastAsia="zh-CN"/>
        </w:rPr>
        <w:t>日历日</w:t>
      </w:r>
      <w:r>
        <w:rPr>
          <w:rFonts w:hint="eastAsia" w:ascii="宋体" w:hAnsi="宋体" w:eastAsia="宋体" w:cs="宋体"/>
          <w:sz w:val="26"/>
          <w:szCs w:val="26"/>
          <w:highlight w:val="none"/>
        </w:rPr>
        <w:t>内完工，</w:t>
      </w:r>
      <w:r>
        <w:rPr>
          <w:rFonts w:hint="eastAsia" w:ascii="宋体" w:hAnsi="宋体" w:eastAsia="宋体" w:cs="宋体"/>
          <w:sz w:val="26"/>
          <w:szCs w:val="26"/>
        </w:rPr>
        <w:t>要求不影响医院的正常工作。</w:t>
      </w:r>
    </w:p>
    <w:p w14:paraId="18BD47B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控制价：</w:t>
      </w:r>
      <w:r>
        <w:rPr>
          <w:rFonts w:hint="eastAsia" w:ascii="宋体" w:hAnsi="宋体" w:eastAsia="宋体" w:cs="宋体"/>
          <w:bCs/>
          <w:color w:val="404040"/>
          <w:sz w:val="26"/>
          <w:szCs w:val="26"/>
          <w:lang w:val="en-US" w:eastAsia="zh-CN"/>
        </w:rPr>
        <w:t>22</w:t>
      </w:r>
      <w:r>
        <w:rPr>
          <w:rFonts w:hint="eastAsia" w:ascii="宋体" w:hAnsi="宋体" w:eastAsia="宋体" w:cs="宋体"/>
          <w:bCs/>
          <w:color w:val="404040"/>
          <w:sz w:val="26"/>
          <w:szCs w:val="26"/>
        </w:rPr>
        <w:t>万元。</w:t>
      </w:r>
    </w:p>
    <w:p w14:paraId="7C08B5D2">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lang w:val="en-US" w:eastAsia="zh-CN"/>
        </w:rPr>
        <w:t>质</w:t>
      </w:r>
      <w:r>
        <w:rPr>
          <w:rFonts w:hint="eastAsia" w:ascii="宋体" w:hAnsi="宋体" w:eastAsia="宋体" w:cs="宋体"/>
          <w:color w:val="404040"/>
          <w:sz w:val="26"/>
          <w:szCs w:val="26"/>
          <w:highlight w:val="none"/>
          <w:lang w:val="en-US" w:eastAsia="zh-CN"/>
        </w:rPr>
        <w:t>保期</w:t>
      </w:r>
      <w:r>
        <w:rPr>
          <w:rFonts w:hint="eastAsia" w:ascii="宋体" w:hAnsi="宋体" w:eastAsia="宋体" w:cs="宋体"/>
          <w:color w:val="404040"/>
          <w:sz w:val="26"/>
          <w:szCs w:val="26"/>
          <w:highlight w:val="none"/>
        </w:rPr>
        <w:t>：</w:t>
      </w:r>
      <w:r>
        <w:rPr>
          <w:rFonts w:hint="eastAsia" w:ascii="宋体" w:hAnsi="宋体" w:eastAsia="宋体" w:cs="宋体"/>
          <w:color w:val="404040"/>
          <w:sz w:val="26"/>
          <w:szCs w:val="26"/>
          <w:highlight w:val="none"/>
          <w:lang w:val="en-US" w:eastAsia="zh-CN"/>
        </w:rPr>
        <w:t>三</w:t>
      </w:r>
      <w:r>
        <w:rPr>
          <w:rFonts w:hint="eastAsia" w:ascii="宋体" w:hAnsi="宋体" w:eastAsia="宋体" w:cs="宋体"/>
          <w:color w:val="404040"/>
          <w:sz w:val="26"/>
          <w:szCs w:val="26"/>
          <w:highlight w:val="none"/>
        </w:rPr>
        <w:t>年，自工程竣工验收合格之日算起。</w:t>
      </w:r>
    </w:p>
    <w:p w14:paraId="3D66DCCF">
      <w:pPr>
        <w:adjustRightInd/>
        <w:snapToGrid/>
        <w:spacing w:after="0" w:line="480" w:lineRule="atLeast"/>
        <w:rPr>
          <w:rFonts w:ascii="宋体" w:hAnsi="宋体" w:eastAsia="宋体" w:cs="宋体"/>
          <w:b/>
          <w:bCs/>
          <w:color w:val="404040"/>
          <w:sz w:val="32"/>
          <w:szCs w:val="32"/>
        </w:rPr>
      </w:pPr>
      <w:r>
        <w:rPr>
          <w:rFonts w:hint="eastAsia" w:ascii="黑体" w:hAnsi="黑体" w:eastAsia="黑体" w:cs="宋体"/>
          <w:b/>
          <w:bCs/>
          <w:color w:val="404040"/>
          <w:sz w:val="26"/>
        </w:rPr>
        <w:t>二、投标人资格要求及审查办法</w:t>
      </w:r>
    </w:p>
    <w:p w14:paraId="13DCAC44">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满足《中华人民共和国政府采购法》第二十二条规定。</w:t>
      </w:r>
    </w:p>
    <w:p w14:paraId="22E16C38">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落实政府采购政策需满足的资格要求。</w:t>
      </w:r>
    </w:p>
    <w:p w14:paraId="130270E6">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委托代表人资格证明书（附法人及委托人身份证）。</w:t>
      </w:r>
    </w:p>
    <w:p w14:paraId="514FDA09">
      <w:pPr>
        <w:pStyle w:val="39"/>
        <w:numPr>
          <w:ilvl w:val="0"/>
          <w:numId w:val="2"/>
        </w:numPr>
        <w:rPr>
          <w:rFonts w:ascii="宋体" w:hAnsi="宋体" w:eastAsia="宋体" w:cs="宋体"/>
          <w:color w:val="404040"/>
          <w:sz w:val="26"/>
          <w:szCs w:val="26"/>
        </w:rPr>
      </w:pPr>
      <w:r>
        <w:rPr>
          <w:rFonts w:hint="eastAsia" w:ascii="宋体" w:hAnsi="宋体" w:eastAsia="宋体" w:cs="宋体"/>
          <w:color w:val="404040"/>
          <w:sz w:val="26"/>
          <w:szCs w:val="26"/>
        </w:rPr>
        <w:t>财务状况报告（最近一个年度经审计的财务报告或资信证明或投标担保函）；</w:t>
      </w:r>
    </w:p>
    <w:p w14:paraId="1CD2D2BF">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参加本次活动前三年内，在经营活动中没有重大违法违规记录的承诺。</w:t>
      </w:r>
    </w:p>
    <w:p w14:paraId="419FCA7B">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资格审查采用方式：资格后审。</w:t>
      </w:r>
    </w:p>
    <w:p w14:paraId="20FA8655">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本招标项目不接受联合体投标，不接受备选投标方案，不允许分包。</w:t>
      </w:r>
    </w:p>
    <w:p w14:paraId="09132766">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投标人应通过“信用中国（</w:t>
      </w:r>
      <w:r>
        <w:fldChar w:fldCharType="begin"/>
      </w:r>
      <w:r>
        <w:instrText xml:space="preserve"> HYPERLINK "http://www.creditchina.gov.cn/" </w:instrText>
      </w:r>
      <w:r>
        <w:fldChar w:fldCharType="separate"/>
      </w:r>
      <w:r>
        <w:rPr>
          <w:rFonts w:hint="eastAsia"/>
          <w:color w:val="404040"/>
        </w:rPr>
        <w:t>www.creditchina.gov.cn</w:t>
      </w:r>
      <w:r>
        <w:rPr>
          <w:rFonts w:hint="eastAsia"/>
          <w:color w:val="404040"/>
        </w:rPr>
        <w:fldChar w:fldCharType="end"/>
      </w:r>
      <w:r>
        <w:rPr>
          <w:rFonts w:hint="eastAsia" w:ascii="宋体" w:hAnsi="宋体" w:eastAsia="宋体" w:cs="宋体"/>
          <w:color w:val="404040"/>
          <w:sz w:val="26"/>
          <w:szCs w:val="26"/>
        </w:rPr>
        <w:t>)”、“中国政府采购网(</w:t>
      </w:r>
      <w:r>
        <w:fldChar w:fldCharType="begin"/>
      </w:r>
      <w:r>
        <w:instrText xml:space="preserve"> HYPERLINK "http://www.ccgp.gov.cn" </w:instrText>
      </w:r>
      <w:r>
        <w:fldChar w:fldCharType="separate"/>
      </w:r>
      <w:r>
        <w:rPr>
          <w:rFonts w:hint="eastAsia"/>
          <w:color w:val="404040"/>
        </w:rPr>
        <w:t>www.ccgp.gov.cn</w:t>
      </w:r>
      <w:r>
        <w:rPr>
          <w:rFonts w:hint="eastAsia"/>
          <w:color w:val="404040"/>
        </w:rPr>
        <w:fldChar w:fldCharType="end"/>
      </w:r>
      <w:r>
        <w:rPr>
          <w:rFonts w:hint="eastAsia" w:ascii="宋体" w:hAnsi="宋体" w:eastAsia="宋体" w:cs="宋体"/>
          <w:color w:val="404040"/>
          <w:sz w:val="26"/>
          <w:szCs w:val="26"/>
        </w:rPr>
        <w:t>)”查询并打印相应的信用记录。</w:t>
      </w:r>
    </w:p>
    <w:p w14:paraId="550D3584">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5D0955FF">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现场勘察：本次招标，采购人不统一组织勘察现场。各潜在投标人若需要查勘现场，应事先与采购人联系现场勘察事宜。</w:t>
      </w:r>
    </w:p>
    <w:p w14:paraId="4D87C648">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上述提供材料均须加盖公章。</w:t>
      </w:r>
    </w:p>
    <w:p w14:paraId="5F93C432">
      <w:pPr>
        <w:pStyle w:val="39"/>
        <w:numPr>
          <w:ilvl w:val="0"/>
          <w:numId w:val="0"/>
        </w:numPr>
        <w:adjustRightInd/>
        <w:snapToGrid/>
        <w:spacing w:after="0" w:line="480" w:lineRule="atLeast"/>
        <w:ind w:firstLine="520" w:firstLineChars="200"/>
        <w:contextualSpacing w:val="0"/>
        <w:rPr>
          <w:rFonts w:ascii="宋体" w:hAnsi="宋体" w:eastAsia="宋体" w:cs="宋体"/>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05F17D88">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三、招标文件的获取</w:t>
      </w:r>
    </w:p>
    <w:p w14:paraId="52A23232">
      <w:pPr>
        <w:pStyle w:val="39"/>
        <w:numPr>
          <w:ilvl w:val="0"/>
          <w:numId w:val="3"/>
        </w:numPr>
        <w:adjustRightInd/>
        <w:snapToGrid/>
        <w:spacing w:after="0" w:line="480" w:lineRule="atLeast"/>
        <w:ind w:left="880" w:leftChars="0" w:firstLineChars="0"/>
        <w:contextualSpacing w:val="0"/>
        <w:rPr>
          <w:rFonts w:ascii="宋体" w:hAnsi="宋体" w:eastAsia="宋体" w:cs="宋体"/>
          <w:color w:val="404040"/>
          <w:sz w:val="26"/>
          <w:szCs w:val="26"/>
        </w:rPr>
      </w:pPr>
      <w:r>
        <w:rPr>
          <w:rFonts w:hint="eastAsia" w:ascii="宋体" w:hAnsi="宋体" w:eastAsia="宋体" w:cs="宋体"/>
          <w:color w:val="404040"/>
          <w:sz w:val="26"/>
          <w:szCs w:val="26"/>
        </w:rPr>
        <w:t>本招标项目不采用电子招投标。</w:t>
      </w:r>
    </w:p>
    <w:p w14:paraId="11870993">
      <w:pPr>
        <w:pStyle w:val="39"/>
        <w:numPr>
          <w:ilvl w:val="0"/>
          <w:numId w:val="3"/>
        </w:numPr>
        <w:adjustRightInd/>
        <w:snapToGrid/>
        <w:spacing w:after="0" w:line="480" w:lineRule="atLeast"/>
        <w:ind w:left="880" w:leftChars="0" w:firstLineChars="0"/>
        <w:contextualSpacing w:val="0"/>
        <w:rPr>
          <w:rFonts w:hint="eastAsia" w:ascii="宋体" w:hAnsi="宋体" w:eastAsia="宋体" w:cs="宋体"/>
          <w:color w:val="404040"/>
          <w:sz w:val="26"/>
          <w:szCs w:val="26"/>
        </w:rPr>
      </w:pPr>
      <w:r>
        <w:rPr>
          <w:rFonts w:hint="eastAsia" w:ascii="宋体" w:hAnsi="宋体" w:eastAsia="宋体" w:cs="宋体"/>
          <w:color w:val="404040"/>
          <w:sz w:val="26"/>
          <w:szCs w:val="26"/>
        </w:rPr>
        <w:t>凡有意参加投标者，均可在福建省肿瘤医院官网（https://www.fjzl.com.cn）下载与本项目相关的招标信息（包括招标文件、招标文件补充说明等），并于</w:t>
      </w:r>
      <w:r>
        <w:rPr>
          <w:rFonts w:hint="eastAsia" w:ascii="宋体" w:hAnsi="宋体" w:eastAsia="宋体" w:cs="宋体"/>
          <w:color w:val="404040"/>
          <w:sz w:val="26"/>
          <w:szCs w:val="26"/>
          <w:highlight w:val="none"/>
        </w:rPr>
        <w:t>2025年</w:t>
      </w:r>
      <w:r>
        <w:rPr>
          <w:rFonts w:hint="eastAsia" w:ascii="宋体" w:hAnsi="宋体" w:eastAsia="宋体" w:cs="宋体"/>
          <w:color w:val="404040"/>
          <w:sz w:val="26"/>
          <w:szCs w:val="26"/>
          <w:highlight w:val="none"/>
          <w:lang w:val="en-US" w:eastAsia="zh-CN"/>
        </w:rPr>
        <w:t>12</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24</w:t>
      </w:r>
      <w:r>
        <w:rPr>
          <w:rFonts w:hint="eastAsia" w:ascii="宋体" w:hAnsi="宋体" w:eastAsia="宋体" w:cs="宋体"/>
          <w:color w:val="404040"/>
          <w:sz w:val="26"/>
          <w:szCs w:val="26"/>
          <w:highlight w:val="none"/>
        </w:rPr>
        <w:t>日至2025年</w:t>
      </w:r>
      <w:r>
        <w:rPr>
          <w:rFonts w:hint="eastAsia" w:ascii="宋体" w:hAnsi="宋体" w:eastAsia="宋体" w:cs="宋体"/>
          <w:color w:val="404040"/>
          <w:sz w:val="26"/>
          <w:szCs w:val="26"/>
          <w:highlight w:val="none"/>
          <w:lang w:val="en-US" w:eastAsia="zh-CN"/>
        </w:rPr>
        <w:t>12</w:t>
      </w:r>
      <w:r>
        <w:rPr>
          <w:rFonts w:hint="eastAsia" w:ascii="宋体" w:hAnsi="宋体" w:eastAsia="宋体" w:cs="宋体"/>
          <w:color w:val="404040"/>
          <w:sz w:val="26"/>
          <w:szCs w:val="26"/>
          <w:highlight w:val="none"/>
        </w:rPr>
        <w:t>月26日(节假日除外)8：00-12：00或14：00-17：00，</w:t>
      </w:r>
      <w:r>
        <w:rPr>
          <w:rFonts w:hint="eastAsia" w:ascii="宋体" w:hAnsi="宋体" w:eastAsia="宋体" w:cs="宋体"/>
          <w:color w:val="404040"/>
          <w:sz w:val="26"/>
          <w:szCs w:val="26"/>
        </w:rPr>
        <w:t>携带加盖公章的营业执照复印件、介绍信前往福建省肿瘤医院总务科报名。</w:t>
      </w:r>
    </w:p>
    <w:p w14:paraId="37AB439C">
      <w:pPr>
        <w:pStyle w:val="39"/>
        <w:numPr>
          <w:ilvl w:val="0"/>
          <w:numId w:val="3"/>
        </w:numPr>
        <w:adjustRightInd/>
        <w:snapToGrid/>
        <w:spacing w:after="0" w:line="480" w:lineRule="atLeast"/>
        <w:ind w:left="880" w:leftChars="0" w:firstLineChars="0"/>
        <w:contextualSpacing w:val="0"/>
        <w:rPr>
          <w:rFonts w:ascii="方正仿宋简体" w:hAnsi="宋体" w:eastAsia="方正仿宋简体" w:cs="宋体"/>
          <w:color w:val="404040"/>
          <w:sz w:val="28"/>
          <w:szCs w:val="28"/>
        </w:rPr>
      </w:pPr>
      <w:r>
        <w:rPr>
          <w:rFonts w:hint="eastAsia" w:ascii="宋体" w:hAnsi="宋体" w:eastAsia="宋体" w:cs="宋体"/>
          <w:color w:val="404040"/>
          <w:sz w:val="26"/>
          <w:szCs w:val="26"/>
        </w:rPr>
        <w:t>项目联系人：陈女士</w:t>
      </w:r>
      <w:r>
        <w:rPr>
          <w:rFonts w:hint="eastAsia" w:ascii="宋体" w:hAnsi="宋体" w:eastAsia="宋体" w:cs="宋体"/>
          <w:color w:val="404040"/>
          <w:sz w:val="26"/>
          <w:szCs w:val="26"/>
          <w:lang w:val="en-US" w:eastAsia="zh-CN"/>
        </w:rPr>
        <w:t xml:space="preserve">           </w:t>
      </w:r>
      <w:r>
        <w:rPr>
          <w:rFonts w:hint="eastAsia" w:ascii="宋体" w:hAnsi="宋体" w:eastAsia="宋体" w:cs="宋体"/>
          <w:color w:val="404040"/>
          <w:sz w:val="26"/>
          <w:szCs w:val="26"/>
        </w:rPr>
        <w:t>联系电话：0591-62752801</w:t>
      </w:r>
    </w:p>
    <w:p w14:paraId="1161B5EC">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四、答疑截止时间</w:t>
      </w:r>
    </w:p>
    <w:p w14:paraId="3CC385FB">
      <w:pPr>
        <w:adjustRightInd/>
        <w:snapToGrid/>
        <w:spacing w:before="150" w:after="0" w:line="480" w:lineRule="atLeast"/>
        <w:ind w:firstLine="520" w:firstLineChars="20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投标人若要求澄清招标文件，应在获取招标文件截止时间后的2个工作日内提出，招标人将随时解答。</w:t>
      </w:r>
    </w:p>
    <w:p w14:paraId="6D0F1ED5">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五、投标文件的要求及递交</w:t>
      </w:r>
    </w:p>
    <w:p w14:paraId="04A72325">
      <w:pPr>
        <w:pStyle w:val="39"/>
        <w:numPr>
          <w:ilvl w:val="0"/>
          <w:numId w:val="4"/>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投标文件正本壹份</w:t>
      </w:r>
      <w:r>
        <w:rPr>
          <w:rFonts w:ascii="宋体" w:hAnsi="宋体" w:eastAsia="宋体" w:cs="宋体"/>
          <w:color w:val="404040"/>
          <w:sz w:val="26"/>
          <w:szCs w:val="26"/>
        </w:rPr>
        <w:t>,</w:t>
      </w:r>
      <w:r>
        <w:rPr>
          <w:rFonts w:hint="eastAsia" w:ascii="宋体" w:hAnsi="宋体" w:eastAsia="宋体" w:cs="宋体"/>
          <w:color w:val="404040"/>
          <w:sz w:val="26"/>
          <w:szCs w:val="26"/>
        </w:rPr>
        <w:t>副本壹份胶装并密封加盖投标人公章。投标文件未胶装密封将导致其投标文件被拒绝。</w:t>
      </w:r>
    </w:p>
    <w:p w14:paraId="676E4BD3">
      <w:pPr>
        <w:pStyle w:val="39"/>
        <w:numPr>
          <w:ilvl w:val="0"/>
          <w:numId w:val="4"/>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rPr>
        <w:t>投标文</w:t>
      </w:r>
      <w:r>
        <w:rPr>
          <w:rFonts w:hint="eastAsia" w:ascii="宋体" w:hAnsi="宋体" w:eastAsia="宋体" w:cs="宋体"/>
          <w:color w:val="404040"/>
          <w:sz w:val="26"/>
          <w:szCs w:val="26"/>
          <w:highlight w:val="none"/>
        </w:rPr>
        <w:t>件递交的截止时间：202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12</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29</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09</w:t>
      </w:r>
      <w:r>
        <w:rPr>
          <w:rFonts w:hint="eastAsia" w:ascii="宋体" w:hAnsi="宋体" w:eastAsia="宋体" w:cs="宋体"/>
          <w:color w:val="404040"/>
          <w:sz w:val="26"/>
          <w:szCs w:val="26"/>
          <w:highlight w:val="none"/>
        </w:rPr>
        <w:t>:00，提交地点为福建省肿瘤医院总务科，未送达指定地点或逾期送达者拒收。</w:t>
      </w:r>
    </w:p>
    <w:p w14:paraId="53299D4D">
      <w:pPr>
        <w:adjustRightInd/>
        <w:snapToGrid/>
        <w:spacing w:before="150" w:after="0" w:line="480" w:lineRule="atLeast"/>
        <w:jc w:val="both"/>
        <w:rPr>
          <w:rFonts w:ascii="黑体" w:hAnsi="黑体" w:eastAsia="黑体" w:cs="宋体"/>
          <w:b/>
          <w:bCs/>
          <w:color w:val="404040"/>
          <w:sz w:val="26"/>
          <w:highlight w:val="none"/>
        </w:rPr>
      </w:pPr>
      <w:r>
        <w:rPr>
          <w:rFonts w:hint="eastAsia" w:ascii="黑体" w:hAnsi="黑体" w:eastAsia="黑体" w:cs="宋体"/>
          <w:b/>
          <w:bCs/>
          <w:color w:val="404040"/>
          <w:sz w:val="26"/>
          <w:highlight w:val="none"/>
        </w:rPr>
        <w:t>六、开标评标时间地点</w:t>
      </w:r>
    </w:p>
    <w:p w14:paraId="6EADCA53">
      <w:pPr>
        <w:numPr>
          <w:ilvl w:val="0"/>
          <w:numId w:val="5"/>
        </w:numPr>
        <w:adjustRightInd/>
        <w:snapToGrid/>
        <w:spacing w:before="150" w:after="0" w:line="480" w:lineRule="atLeast"/>
        <w:ind w:left="865" w:leftChars="0" w:hanging="425" w:firstLineChars="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highlight w:val="none"/>
        </w:rPr>
        <w:t>开标时间：202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12</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29</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09</w:t>
      </w:r>
      <w:r>
        <w:rPr>
          <w:rFonts w:hint="eastAsia" w:ascii="宋体" w:hAnsi="宋体" w:eastAsia="宋体" w:cs="宋体"/>
          <w:color w:val="404040"/>
          <w:sz w:val="26"/>
          <w:szCs w:val="26"/>
          <w:highlight w:val="none"/>
        </w:rPr>
        <w:t>:00时</w:t>
      </w:r>
    </w:p>
    <w:p w14:paraId="198A9918">
      <w:pPr>
        <w:numPr>
          <w:ilvl w:val="0"/>
          <w:numId w:val="5"/>
        </w:numPr>
        <w:adjustRightInd/>
        <w:snapToGrid/>
        <w:spacing w:before="150" w:after="0" w:line="480" w:lineRule="atLeast"/>
        <w:ind w:left="865" w:leftChars="0" w:hanging="425" w:firstLineChars="0"/>
        <w:jc w:val="both"/>
        <w:rPr>
          <w:rFonts w:ascii="宋体" w:hAnsi="宋体" w:eastAsia="宋体" w:cs="宋体"/>
          <w:color w:val="404040"/>
          <w:sz w:val="26"/>
          <w:szCs w:val="26"/>
        </w:rPr>
      </w:pPr>
      <w:r>
        <w:rPr>
          <w:rFonts w:hint="eastAsia" w:ascii="宋体" w:hAnsi="宋体" w:eastAsia="宋体" w:cs="宋体"/>
          <w:color w:val="404040"/>
          <w:sz w:val="26"/>
          <w:szCs w:val="26"/>
        </w:rPr>
        <w:t>评标时间：开标后即开始评标。</w:t>
      </w:r>
    </w:p>
    <w:p w14:paraId="6D7D77DF">
      <w:pPr>
        <w:numPr>
          <w:ilvl w:val="0"/>
          <w:numId w:val="5"/>
        </w:numPr>
        <w:adjustRightInd/>
        <w:snapToGrid/>
        <w:spacing w:before="150" w:after="0" w:line="480" w:lineRule="atLeast"/>
        <w:ind w:left="865" w:leftChars="0" w:hanging="425" w:firstLineChars="0"/>
        <w:jc w:val="both"/>
        <w:rPr>
          <w:rFonts w:ascii="宋体" w:hAnsi="宋体" w:eastAsia="宋体" w:cs="宋体"/>
          <w:color w:val="404040"/>
          <w:sz w:val="26"/>
          <w:szCs w:val="26"/>
        </w:rPr>
      </w:pPr>
      <w:r>
        <w:rPr>
          <w:rFonts w:hint="eastAsia" w:ascii="宋体" w:hAnsi="宋体" w:eastAsia="宋体" w:cs="宋体"/>
          <w:color w:val="404040"/>
          <w:sz w:val="26"/>
          <w:szCs w:val="26"/>
        </w:rPr>
        <w:t>地点：福建省肿瘤医院科研楼一楼总务科</w:t>
      </w:r>
    </w:p>
    <w:p w14:paraId="3717CAA8">
      <w:pPr>
        <w:adjustRightInd/>
        <w:snapToGrid/>
        <w:spacing w:before="150" w:after="0" w:line="480" w:lineRule="atLeast"/>
        <w:jc w:val="both"/>
        <w:rPr>
          <w:rFonts w:ascii="宋体" w:hAnsi="宋体" w:eastAsia="宋体" w:cs="宋体"/>
          <w:color w:val="404040"/>
          <w:sz w:val="26"/>
          <w:szCs w:val="26"/>
        </w:rPr>
      </w:pPr>
      <w:r>
        <w:rPr>
          <w:rFonts w:hint="eastAsia" w:ascii="宋体" w:hAnsi="宋体" w:eastAsia="宋体" w:cs="宋体"/>
          <w:color w:val="404040"/>
          <w:sz w:val="26"/>
          <w:szCs w:val="26"/>
        </w:rPr>
        <w:t>备注：</w:t>
      </w:r>
    </w:p>
    <w:p w14:paraId="7FBE4D66">
      <w:pPr>
        <w:numPr>
          <w:ilvl w:val="0"/>
          <w:numId w:val="6"/>
        </w:numPr>
        <w:spacing w:before="150" w:line="560" w:lineRule="exact"/>
        <w:ind w:left="-80" w:leftChars="0" w:firstLine="520" w:firstLineChars="0"/>
        <w:rPr>
          <w:rFonts w:hint="eastAsia" w:ascii="宋体" w:hAnsi="宋体" w:eastAsia="宋体" w:cs="宋体"/>
          <w:color w:val="404040"/>
          <w:sz w:val="26"/>
          <w:szCs w:val="26"/>
        </w:rPr>
      </w:pPr>
      <w:r>
        <w:rPr>
          <w:rFonts w:hint="eastAsia" w:ascii="宋体" w:hAnsi="宋体" w:eastAsia="宋体" w:cs="宋体"/>
          <w:color w:val="404040"/>
          <w:sz w:val="26"/>
          <w:szCs w:val="26"/>
        </w:rPr>
        <w:t>未参加报名的潜在投标人，其投标文件将被拒绝。</w:t>
      </w:r>
    </w:p>
    <w:p w14:paraId="5696B110">
      <w:pPr>
        <w:numPr>
          <w:ilvl w:val="0"/>
          <w:numId w:val="6"/>
        </w:numPr>
        <w:spacing w:before="150" w:line="560" w:lineRule="exact"/>
        <w:ind w:left="-80" w:leftChars="0" w:firstLine="520" w:firstLineChars="0"/>
        <w:rPr>
          <w:rFonts w:ascii="宋体" w:hAnsi="宋体" w:eastAsia="宋体" w:cs="宋体"/>
          <w:color w:val="404040"/>
          <w:sz w:val="26"/>
          <w:szCs w:val="26"/>
        </w:rPr>
      </w:pPr>
      <w:r>
        <w:rPr>
          <w:rFonts w:hint="eastAsia" w:ascii="宋体" w:hAnsi="宋体" w:eastAsia="宋体" w:cs="宋体"/>
          <w:color w:val="404040"/>
          <w:sz w:val="26"/>
          <w:szCs w:val="26"/>
        </w:rPr>
        <w:t>若有涉及招标文件内容更正，请各潜在投标人密切关注福建省肿瘤医院官网通知，以最新公告为准。</w:t>
      </w:r>
    </w:p>
    <w:p w14:paraId="79886EEB">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lang w:val="en-US" w:eastAsia="zh-CN"/>
        </w:rPr>
        <w:t>七</w:t>
      </w:r>
      <w:r>
        <w:rPr>
          <w:rFonts w:hint="eastAsia" w:ascii="黑体" w:hAnsi="黑体" w:eastAsia="黑体" w:cs="宋体"/>
          <w:b/>
          <w:bCs/>
          <w:color w:val="404040"/>
          <w:sz w:val="26"/>
        </w:rPr>
        <w:t>、评标原则及办法</w:t>
      </w:r>
    </w:p>
    <w:p w14:paraId="40309FD8">
      <w:pPr>
        <w:pStyle w:val="39"/>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评标活动遵循公平、公正、科学和择优的原则。</w:t>
      </w:r>
    </w:p>
    <w:p w14:paraId="19FC8B39">
      <w:pPr>
        <w:pStyle w:val="39"/>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评标方法：</w:t>
      </w:r>
      <w:r>
        <w:rPr>
          <w:rFonts w:hint="eastAsia" w:ascii="宋体" w:hAnsi="宋体" w:eastAsia="宋体" w:cs="宋体"/>
          <w:color w:val="404040"/>
          <w:sz w:val="26"/>
          <w:szCs w:val="26"/>
          <w:lang w:val="en-US" w:eastAsia="zh-CN"/>
        </w:rPr>
        <w:t>最低价中标。（符合谈判文件各项要求的且报价最低的投标人）</w:t>
      </w:r>
    </w:p>
    <w:p w14:paraId="38DE564D">
      <w:pPr>
        <w:pStyle w:val="39"/>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投标人之间有相互串通投标、弄虚作假等违规行为者，将作废标处理，并在我院未来的项目招标中被拒绝接受投标。</w:t>
      </w:r>
    </w:p>
    <w:p w14:paraId="155387E2">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lang w:val="en-US" w:eastAsia="zh-CN"/>
        </w:rPr>
        <w:t>八</w:t>
      </w:r>
      <w:r>
        <w:rPr>
          <w:rFonts w:hint="eastAsia" w:ascii="黑体" w:hAnsi="黑体" w:eastAsia="黑体" w:cs="宋体"/>
          <w:b/>
          <w:bCs/>
          <w:color w:val="404040"/>
          <w:sz w:val="26"/>
        </w:rPr>
        <w:t>、合同条款内容及签订</w:t>
      </w:r>
    </w:p>
    <w:p w14:paraId="51B7B943">
      <w:pPr>
        <w:pStyle w:val="39"/>
        <w:numPr>
          <w:ilvl w:val="0"/>
          <w:numId w:val="8"/>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合同专用条款内容依照国家规范文本，合同通用条款内容解释依照国家规范文本。</w:t>
      </w:r>
    </w:p>
    <w:p w14:paraId="392F5B9F">
      <w:pPr>
        <w:pStyle w:val="39"/>
        <w:numPr>
          <w:ilvl w:val="0"/>
          <w:numId w:val="8"/>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合同签订：中标人在接到中标通知后3天内，应派代表与招标人联系，商讨签订合同事宜。</w:t>
      </w:r>
    </w:p>
    <w:p w14:paraId="2A7C6ADF">
      <w:pPr>
        <w:adjustRightInd/>
        <w:snapToGrid/>
        <w:spacing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lang w:val="en-US" w:eastAsia="zh-CN"/>
        </w:rPr>
        <w:t>九</w:t>
      </w:r>
      <w:r>
        <w:rPr>
          <w:rFonts w:hint="eastAsia" w:ascii="黑体" w:hAnsi="黑体" w:eastAsia="黑体" w:cs="宋体"/>
          <w:b/>
          <w:bCs/>
          <w:color w:val="404040"/>
          <w:sz w:val="26"/>
        </w:rPr>
        <w:t>、付款方式与条件</w:t>
      </w:r>
    </w:p>
    <w:p w14:paraId="52BE1144">
      <w:pPr>
        <w:adjustRightInd/>
        <w:snapToGrid/>
        <w:spacing w:after="0" w:line="480" w:lineRule="atLeast"/>
        <w:ind w:firstLine="480"/>
        <w:jc w:val="both"/>
        <w:rPr>
          <w:rFonts w:hint="eastAsia" w:ascii="宋体" w:hAnsi="宋体" w:eastAsia="宋体" w:cs="宋体"/>
          <w:color w:val="404040"/>
          <w:sz w:val="26"/>
          <w:szCs w:val="26"/>
          <w:highlight w:val="none"/>
        </w:rPr>
      </w:pPr>
      <w:r>
        <w:rPr>
          <w:rFonts w:hint="eastAsia" w:ascii="宋体" w:hAnsi="宋体" w:eastAsia="宋体" w:cs="宋体"/>
          <w:color w:val="404040"/>
          <w:sz w:val="26"/>
          <w:szCs w:val="26"/>
          <w:highlight w:val="none"/>
        </w:rPr>
        <w:t>经甲方验收合格后，支付合同金额的</w:t>
      </w:r>
      <w:r>
        <w:rPr>
          <w:rFonts w:hint="eastAsia" w:ascii="宋体" w:hAnsi="宋体" w:eastAsia="宋体" w:cs="宋体"/>
          <w:color w:val="404040"/>
          <w:sz w:val="26"/>
          <w:szCs w:val="26"/>
          <w:highlight w:val="none"/>
          <w:lang w:val="en-US" w:eastAsia="zh-CN"/>
        </w:rPr>
        <w:t>95</w:t>
      </w:r>
      <w:r>
        <w:rPr>
          <w:rFonts w:hint="eastAsia" w:ascii="宋体" w:hAnsi="宋体" w:eastAsia="宋体" w:cs="宋体"/>
          <w:color w:val="404040"/>
          <w:sz w:val="26"/>
          <w:szCs w:val="26"/>
          <w:highlight w:val="none"/>
        </w:rPr>
        <w:t>%</w:t>
      </w:r>
      <w:r>
        <w:rPr>
          <w:rFonts w:hint="eastAsia" w:ascii="宋体" w:hAnsi="宋体" w:eastAsia="宋体" w:cs="宋体"/>
          <w:color w:val="404040"/>
          <w:sz w:val="26"/>
          <w:szCs w:val="26"/>
          <w:highlight w:val="none"/>
          <w:lang w:eastAsia="zh-CN"/>
        </w:rPr>
        <w:t>，</w:t>
      </w:r>
      <w:r>
        <w:rPr>
          <w:rFonts w:hint="eastAsia" w:ascii="宋体" w:hAnsi="宋体" w:eastAsia="宋体" w:cs="宋体"/>
          <w:color w:val="404040"/>
          <w:sz w:val="26"/>
          <w:szCs w:val="26"/>
          <w:highlight w:val="none"/>
          <w:lang w:val="en-US" w:eastAsia="zh-CN"/>
        </w:rPr>
        <w:t>维保期结束后，支付</w:t>
      </w:r>
      <w:r>
        <w:rPr>
          <w:rFonts w:hint="eastAsia" w:ascii="宋体" w:hAnsi="宋体" w:eastAsia="宋体" w:cs="宋体"/>
          <w:color w:val="404040"/>
          <w:sz w:val="26"/>
          <w:szCs w:val="26"/>
          <w:highlight w:val="none"/>
        </w:rPr>
        <w:t>合同金额的</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w:t>
      </w:r>
    </w:p>
    <w:p w14:paraId="486AC53E">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十、其他未详尽事宜</w:t>
      </w:r>
    </w:p>
    <w:p w14:paraId="5E33784B">
      <w:pPr>
        <w:adjustRightInd/>
        <w:snapToGrid/>
        <w:spacing w:before="150" w:after="0" w:line="480" w:lineRule="atLeast"/>
        <w:ind w:firstLine="48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依照国家政府采购有关规定。</w:t>
      </w:r>
    </w:p>
    <w:p w14:paraId="06853512">
      <w:pPr>
        <w:adjustRightInd/>
        <w:snapToGrid/>
        <w:spacing w:before="150" w:after="0" w:line="480" w:lineRule="atLeast"/>
        <w:jc w:val="both"/>
        <w:rPr>
          <w:rFonts w:ascii="黑体" w:hAnsi="黑体" w:eastAsia="黑体" w:cs="宋体"/>
          <w:b/>
          <w:bCs/>
          <w:color w:val="404040"/>
          <w:sz w:val="26"/>
        </w:rPr>
      </w:pPr>
      <w:r>
        <w:rPr>
          <w:rFonts w:hint="eastAsia" w:ascii="黑体" w:hAnsi="黑体" w:eastAsia="黑体" w:cs="宋体"/>
          <w:b/>
          <w:bCs/>
          <w:color w:val="404040"/>
          <w:sz w:val="26"/>
        </w:rPr>
        <w:t>十</w:t>
      </w:r>
      <w:r>
        <w:rPr>
          <w:rFonts w:hint="eastAsia" w:ascii="黑体" w:hAnsi="黑体" w:eastAsia="黑体" w:cs="宋体"/>
          <w:b/>
          <w:bCs/>
          <w:color w:val="404040"/>
          <w:sz w:val="26"/>
          <w:lang w:val="en-US" w:eastAsia="zh-CN"/>
        </w:rPr>
        <w:t>一</w:t>
      </w:r>
      <w:r>
        <w:rPr>
          <w:rFonts w:hint="eastAsia" w:ascii="黑体" w:hAnsi="黑体" w:eastAsia="黑体" w:cs="宋体"/>
          <w:b/>
          <w:bCs/>
          <w:color w:val="404040"/>
          <w:sz w:val="26"/>
        </w:rPr>
        <w:t>、监督电话</w:t>
      </w:r>
    </w:p>
    <w:p w14:paraId="622BB401">
      <w:pPr>
        <w:adjustRightInd/>
        <w:snapToGrid/>
        <w:spacing w:before="150" w:after="0" w:line="480" w:lineRule="atLeast"/>
        <w:ind w:firstLine="480"/>
        <w:jc w:val="both"/>
        <w:rPr>
          <w:rFonts w:ascii="宋体" w:hAnsi="宋体" w:eastAsia="宋体" w:cs="宋体"/>
          <w:color w:val="404040"/>
          <w:sz w:val="26"/>
          <w:szCs w:val="26"/>
        </w:rPr>
      </w:pPr>
      <w:r>
        <w:rPr>
          <w:rFonts w:ascii="宋体" w:hAnsi="宋体" w:eastAsia="宋体" w:cs="宋体"/>
          <w:color w:val="404040"/>
          <w:sz w:val="26"/>
          <w:szCs w:val="26"/>
        </w:rPr>
        <w:t>在采购报名、采购调研等采购过程中有任何异议，可联系我院监督科室。电话：83660063-8407；83660063-8467。</w:t>
      </w:r>
    </w:p>
    <w:p w14:paraId="1128F58D">
      <w:pPr>
        <w:adjustRightInd/>
        <w:snapToGrid/>
        <w:spacing w:after="0"/>
        <w:rPr>
          <w:rFonts w:hint="eastAsia" w:ascii="宋体" w:hAnsi="宋体" w:eastAsia="宋体" w:cs="宋体"/>
          <w:color w:val="404040"/>
          <w:sz w:val="26"/>
          <w:szCs w:val="26"/>
          <w:lang w:val="en-US" w:eastAsia="zh-CN"/>
        </w:rPr>
      </w:pPr>
      <w:r>
        <w:rPr>
          <w:rFonts w:hint="eastAsia" w:ascii="宋体" w:hAnsi="宋体" w:eastAsia="宋体" w:cs="宋体"/>
          <w:color w:val="404040"/>
          <w:sz w:val="26"/>
          <w:szCs w:val="26"/>
          <w:lang w:val="en-US" w:eastAsia="zh-CN"/>
        </w:rPr>
        <w:t xml:space="preserve">                                                 福建省肿瘤医院</w:t>
      </w:r>
    </w:p>
    <w:p w14:paraId="1BABC209">
      <w:pPr>
        <w:adjustRightInd/>
        <w:snapToGrid/>
        <w:spacing w:after="0"/>
        <w:jc w:val="center"/>
        <w:rPr>
          <w:rFonts w:hint="default" w:ascii="宋体" w:hAnsi="宋体" w:eastAsia="宋体" w:cs="宋体"/>
          <w:color w:val="404040"/>
          <w:sz w:val="26"/>
          <w:szCs w:val="26"/>
          <w:lang w:val="en-US" w:eastAsia="zh-CN"/>
        </w:rPr>
      </w:pPr>
      <w:r>
        <w:rPr>
          <w:rFonts w:hint="eastAsia" w:ascii="宋体" w:hAnsi="宋体" w:eastAsia="宋体" w:cs="宋体"/>
          <w:color w:val="404040"/>
          <w:sz w:val="26"/>
          <w:szCs w:val="26"/>
          <w:lang w:val="en-US" w:eastAsia="zh-CN"/>
        </w:rPr>
        <w:t xml:space="preserve">                                </w:t>
      </w:r>
      <w:r>
        <w:rPr>
          <w:rFonts w:hint="eastAsia" w:ascii="宋体" w:hAnsi="宋体" w:eastAsia="宋体" w:cs="宋体"/>
          <w:color w:val="404040"/>
          <w:sz w:val="26"/>
          <w:szCs w:val="26"/>
          <w:highlight w:val="none"/>
          <w:lang w:val="en-US" w:eastAsia="zh-CN"/>
        </w:rPr>
        <w:t xml:space="preserve"> 2025年12月23日</w:t>
      </w:r>
      <w:r>
        <w:rPr>
          <w:rFonts w:hint="eastAsia" w:ascii="宋体" w:hAnsi="宋体" w:eastAsia="宋体" w:cs="宋体"/>
          <w:color w:val="404040"/>
          <w:sz w:val="26"/>
          <w:szCs w:val="26"/>
          <w:highlight w:val="none"/>
        </w:rPr>
        <w:br w:type="page"/>
      </w:r>
      <w:r>
        <w:rPr>
          <w:rFonts w:hint="eastAsia" w:ascii="宋体" w:hAnsi="宋体" w:eastAsia="宋体" w:cs="宋体"/>
          <w:color w:val="404040"/>
          <w:sz w:val="26"/>
          <w:szCs w:val="26"/>
          <w:lang w:val="en-US" w:eastAsia="zh-CN"/>
        </w:rPr>
        <w:t xml:space="preserve">  </w:t>
      </w:r>
    </w:p>
    <w:p w14:paraId="3F26E787">
      <w:pPr>
        <w:keepNext w:val="0"/>
        <w:keepLines w:val="0"/>
        <w:pageBreakBefore w:val="0"/>
        <w:widowControl w:val="0"/>
        <w:kinsoku/>
        <w:wordWrap/>
        <w:overflowPunct/>
        <w:topLinePunct w:val="0"/>
        <w:autoSpaceDE/>
        <w:autoSpaceDN/>
        <w:bidi w:val="0"/>
        <w:adjustRightInd/>
        <w:snapToGrid/>
        <w:spacing w:after="0" w:line="480" w:lineRule="auto"/>
        <w:jc w:val="center"/>
        <w:textAlignment w:val="auto"/>
        <w:rPr>
          <w:rFonts w:hint="eastAsia" w:ascii="仿宋_GB2312" w:hAnsi="仿宋_GB2312" w:eastAsia="仿宋_GB2312" w:cs="仿宋_GB2312"/>
          <w:b/>
          <w:bCs/>
          <w:color w:val="404040"/>
          <w:sz w:val="30"/>
          <w:szCs w:val="30"/>
        </w:rPr>
      </w:pPr>
      <w:r>
        <w:rPr>
          <w:rFonts w:hint="eastAsia" w:ascii="仿宋_GB2312" w:hAnsi="仿宋_GB2312" w:eastAsia="仿宋_GB2312" w:cs="仿宋_GB2312"/>
          <w:b/>
          <w:bCs/>
          <w:color w:val="404040"/>
          <w:sz w:val="30"/>
          <w:szCs w:val="30"/>
        </w:rPr>
        <w:t>报价内容一览</w:t>
      </w:r>
    </w:p>
    <w:tbl>
      <w:tblPr>
        <w:tblStyle w:val="22"/>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16F4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35867A24">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项目名称</w:t>
            </w:r>
          </w:p>
        </w:tc>
        <w:tc>
          <w:tcPr>
            <w:tcW w:w="1438" w:type="dxa"/>
            <w:shd w:val="clear" w:color="FFFFFF" w:fill="auto"/>
            <w:vAlign w:val="center"/>
          </w:tcPr>
          <w:p w14:paraId="2B88500F">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招标方式</w:t>
            </w:r>
          </w:p>
        </w:tc>
        <w:tc>
          <w:tcPr>
            <w:tcW w:w="1082" w:type="dxa"/>
            <w:shd w:val="clear" w:color="FFFFFF" w:fill="auto"/>
            <w:vAlign w:val="center"/>
          </w:tcPr>
          <w:p w14:paraId="17F27C88">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控制价</w:t>
            </w:r>
          </w:p>
        </w:tc>
        <w:tc>
          <w:tcPr>
            <w:tcW w:w="1436" w:type="dxa"/>
            <w:shd w:val="clear" w:color="FFFFFF" w:fill="auto"/>
            <w:vAlign w:val="center"/>
          </w:tcPr>
          <w:p w14:paraId="12E7CD77">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数量</w:t>
            </w:r>
          </w:p>
        </w:tc>
        <w:tc>
          <w:tcPr>
            <w:tcW w:w="1500" w:type="dxa"/>
            <w:shd w:val="clear" w:color="FFFFFF" w:fill="auto"/>
            <w:vAlign w:val="center"/>
          </w:tcPr>
          <w:p w14:paraId="1692F9E0">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要求</w:t>
            </w:r>
          </w:p>
        </w:tc>
      </w:tr>
      <w:tr w14:paraId="0B2F9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5A860833">
            <w:pPr>
              <w:spacing w:line="340" w:lineRule="exact"/>
              <w:jc w:val="center"/>
              <w:rPr>
                <w:rFonts w:ascii="宋体" w:hAnsi="宋体" w:eastAsia="宋体" w:cs="宋体"/>
                <w:color w:val="404040"/>
                <w:sz w:val="32"/>
                <w:szCs w:val="32"/>
                <w:highlight w:val="none"/>
              </w:rPr>
            </w:pPr>
            <w:r>
              <w:rPr>
                <w:rFonts w:hint="eastAsia" w:ascii="宋体" w:hAnsi="宋体" w:eastAsia="宋体" w:cs="宋体"/>
                <w:color w:val="404040"/>
                <w:sz w:val="26"/>
                <w:szCs w:val="26"/>
                <w:highlight w:val="none"/>
              </w:rPr>
              <w:t>福建省肿瘤医院外科楼加装发光字标识项目</w:t>
            </w:r>
          </w:p>
        </w:tc>
        <w:tc>
          <w:tcPr>
            <w:tcW w:w="1438" w:type="dxa"/>
            <w:vAlign w:val="center"/>
          </w:tcPr>
          <w:p w14:paraId="2766D0BE">
            <w:pPr>
              <w:spacing w:line="340" w:lineRule="exact"/>
              <w:jc w:val="center"/>
              <w:rPr>
                <w:rFonts w:hint="default" w:ascii="宋体" w:hAnsi="宋体" w:eastAsia="宋体" w:cs="宋体"/>
                <w:i/>
                <w:iCs/>
                <w:color w:val="404040"/>
                <w:sz w:val="26"/>
                <w:szCs w:val="26"/>
                <w:highlight w:val="none"/>
                <w:lang w:val="en-US" w:eastAsia="zh-CN"/>
              </w:rPr>
            </w:pPr>
            <w:r>
              <w:rPr>
                <w:rFonts w:hint="eastAsia" w:ascii="宋体" w:hAnsi="宋体" w:eastAsia="宋体" w:cs="宋体"/>
                <w:color w:val="404040"/>
                <w:sz w:val="26"/>
                <w:szCs w:val="26"/>
                <w:lang w:val="en-US" w:eastAsia="zh-CN"/>
              </w:rPr>
              <w:t>竞争性谈判</w:t>
            </w:r>
          </w:p>
        </w:tc>
        <w:tc>
          <w:tcPr>
            <w:tcW w:w="1082" w:type="dxa"/>
            <w:vAlign w:val="center"/>
          </w:tcPr>
          <w:p w14:paraId="493DD51D">
            <w:pPr>
              <w:spacing w:line="340" w:lineRule="exact"/>
              <w:jc w:val="center"/>
              <w:rPr>
                <w:rFonts w:ascii="宋体" w:hAnsi="宋体" w:eastAsia="宋体" w:cs="宋体"/>
                <w:color w:val="404040"/>
                <w:sz w:val="26"/>
                <w:szCs w:val="26"/>
              </w:rPr>
            </w:pPr>
            <w:r>
              <w:rPr>
                <w:rFonts w:hint="eastAsia" w:ascii="宋体" w:hAnsi="宋体" w:eastAsia="宋体" w:cs="宋体"/>
                <w:color w:val="404040"/>
                <w:sz w:val="26"/>
                <w:szCs w:val="26"/>
                <w:lang w:val="en-US" w:eastAsia="zh-CN"/>
              </w:rPr>
              <w:t>22</w:t>
            </w:r>
            <w:r>
              <w:rPr>
                <w:rFonts w:ascii="宋体" w:hAnsi="宋体" w:eastAsia="宋体" w:cs="宋体"/>
                <w:color w:val="404040"/>
                <w:sz w:val="26"/>
                <w:szCs w:val="26"/>
              </w:rPr>
              <w:t>万</w:t>
            </w:r>
          </w:p>
        </w:tc>
        <w:tc>
          <w:tcPr>
            <w:tcW w:w="1436" w:type="dxa"/>
            <w:vAlign w:val="center"/>
          </w:tcPr>
          <w:p w14:paraId="35EAC62B">
            <w:pPr>
              <w:spacing w:line="340" w:lineRule="exact"/>
              <w:jc w:val="center"/>
              <w:rPr>
                <w:rFonts w:ascii="宋体" w:hAnsi="宋体" w:eastAsia="宋体" w:cs="宋体"/>
                <w:color w:val="404040"/>
                <w:sz w:val="26"/>
                <w:szCs w:val="26"/>
              </w:rPr>
            </w:pPr>
            <w:r>
              <w:rPr>
                <w:rFonts w:hint="eastAsia" w:ascii="宋体" w:hAnsi="宋体" w:eastAsia="宋体" w:cs="宋体"/>
                <w:color w:val="404040"/>
                <w:sz w:val="26"/>
                <w:szCs w:val="26"/>
              </w:rPr>
              <w:t>详见附件</w:t>
            </w:r>
          </w:p>
        </w:tc>
        <w:tc>
          <w:tcPr>
            <w:tcW w:w="1500" w:type="dxa"/>
            <w:vAlign w:val="center"/>
          </w:tcPr>
          <w:p w14:paraId="2F65E349">
            <w:pPr>
              <w:spacing w:line="340" w:lineRule="exact"/>
              <w:jc w:val="center"/>
              <w:rPr>
                <w:rFonts w:ascii="宋体" w:hAnsi="宋体" w:eastAsia="宋体" w:cs="宋体"/>
                <w:color w:val="404040"/>
                <w:sz w:val="26"/>
                <w:szCs w:val="26"/>
              </w:rPr>
            </w:pPr>
            <w:r>
              <w:rPr>
                <w:rFonts w:ascii="宋体" w:hAnsi="宋体" w:eastAsia="宋体" w:cs="宋体"/>
                <w:color w:val="404040"/>
                <w:sz w:val="26"/>
                <w:szCs w:val="26"/>
              </w:rPr>
              <w:t>详见附件</w:t>
            </w:r>
          </w:p>
        </w:tc>
      </w:tr>
    </w:tbl>
    <w:p w14:paraId="2B80BAEA">
      <w:pPr>
        <w:pStyle w:val="17"/>
        <w:rPr>
          <w:rFonts w:ascii="宋体" w:hAnsi="宋体" w:eastAsia="宋体" w:cs="宋体"/>
          <w:color w:val="404040"/>
          <w:sz w:val="26"/>
          <w:szCs w:val="26"/>
        </w:rPr>
      </w:pPr>
      <w:r>
        <w:rPr>
          <w:rFonts w:ascii="宋体" w:hAnsi="宋体" w:eastAsia="宋体" w:cs="宋体"/>
          <w:color w:val="404040"/>
          <w:sz w:val="26"/>
          <w:szCs w:val="26"/>
        </w:rPr>
        <w:t>备注：</w:t>
      </w:r>
      <w:r>
        <w:rPr>
          <w:rFonts w:hint="eastAsia" w:ascii="宋体" w:hAnsi="宋体" w:eastAsia="宋体" w:cs="宋体"/>
          <w:color w:val="404040"/>
          <w:sz w:val="26"/>
          <w:szCs w:val="26"/>
        </w:rPr>
        <w:t>1、</w:t>
      </w:r>
      <w:r>
        <w:rPr>
          <w:rFonts w:ascii="宋体" w:hAnsi="宋体" w:eastAsia="宋体" w:cs="宋体"/>
          <w:color w:val="404040"/>
          <w:sz w:val="26"/>
          <w:szCs w:val="26"/>
        </w:rPr>
        <w:t>如双方对招标内容产生歧义，最终解释权归采购人。</w:t>
      </w:r>
    </w:p>
    <w:p w14:paraId="359E5A7C">
      <w:pPr>
        <w:adjustRightInd/>
        <w:snapToGrid/>
        <w:spacing w:before="150" w:after="0" w:line="480" w:lineRule="atLeast"/>
        <w:ind w:firstLine="480"/>
        <w:jc w:val="both"/>
        <w:rPr>
          <w:rFonts w:ascii="宋体" w:hAnsi="宋体" w:eastAsia="宋体" w:cs="宋体"/>
          <w:color w:val="404040"/>
          <w:sz w:val="26"/>
          <w:szCs w:val="26"/>
        </w:rPr>
      </w:pPr>
    </w:p>
    <w:p w14:paraId="14F4E949">
      <w:pPr>
        <w:pStyle w:val="17"/>
        <w:rPr>
          <w:rFonts w:ascii="宋体" w:hAnsi="宋体" w:cs="仿宋_GB2312"/>
          <w:b/>
          <w:sz w:val="24"/>
          <w:szCs w:val="24"/>
        </w:rPr>
      </w:pPr>
    </w:p>
    <w:p w14:paraId="50949931">
      <w:pPr>
        <w:pStyle w:val="17"/>
        <w:rPr>
          <w:rFonts w:ascii="宋体" w:hAnsi="宋体" w:cs="仿宋_GB2312"/>
          <w:b/>
          <w:sz w:val="24"/>
          <w:szCs w:val="24"/>
        </w:rPr>
      </w:pPr>
    </w:p>
    <w:p w14:paraId="36A5F017">
      <w:pPr>
        <w:pStyle w:val="17"/>
        <w:rPr>
          <w:rFonts w:ascii="宋体" w:hAnsi="宋体" w:cs="仿宋_GB2312"/>
          <w:b/>
          <w:sz w:val="24"/>
          <w:szCs w:val="24"/>
        </w:rPr>
      </w:pPr>
    </w:p>
    <w:p w14:paraId="01316DC9">
      <w:pPr>
        <w:pStyle w:val="17"/>
        <w:rPr>
          <w:rFonts w:ascii="宋体" w:hAnsi="宋体" w:cs="仿宋_GB2312"/>
          <w:b/>
          <w:sz w:val="24"/>
          <w:szCs w:val="24"/>
        </w:rPr>
      </w:pPr>
    </w:p>
    <w:p w14:paraId="2ADC3AB8">
      <w:pPr>
        <w:pStyle w:val="17"/>
        <w:rPr>
          <w:rFonts w:ascii="宋体" w:hAnsi="宋体" w:cs="仿宋_GB2312"/>
          <w:b/>
          <w:sz w:val="24"/>
          <w:szCs w:val="24"/>
        </w:rPr>
      </w:pPr>
    </w:p>
    <w:p w14:paraId="4953DA7D">
      <w:pPr>
        <w:pStyle w:val="17"/>
        <w:rPr>
          <w:rFonts w:ascii="宋体" w:hAnsi="宋体" w:cs="仿宋_GB2312"/>
          <w:b/>
          <w:sz w:val="24"/>
          <w:szCs w:val="24"/>
        </w:rPr>
      </w:pPr>
    </w:p>
    <w:p w14:paraId="78574E82">
      <w:pPr>
        <w:pStyle w:val="17"/>
        <w:rPr>
          <w:rFonts w:ascii="宋体" w:hAnsi="宋体" w:cs="仿宋_GB2312"/>
          <w:b/>
          <w:sz w:val="24"/>
          <w:szCs w:val="24"/>
        </w:rPr>
      </w:pPr>
    </w:p>
    <w:p w14:paraId="1FD0D3B1">
      <w:pPr>
        <w:pStyle w:val="17"/>
        <w:rPr>
          <w:rFonts w:ascii="宋体" w:hAnsi="宋体" w:cs="仿宋_GB2312"/>
          <w:b/>
          <w:sz w:val="24"/>
          <w:szCs w:val="24"/>
        </w:rPr>
      </w:pPr>
    </w:p>
    <w:p w14:paraId="04FD9E99">
      <w:pPr>
        <w:pStyle w:val="17"/>
        <w:rPr>
          <w:rFonts w:ascii="宋体" w:hAnsi="宋体" w:cs="仿宋_GB2312"/>
          <w:b/>
          <w:sz w:val="24"/>
          <w:szCs w:val="24"/>
        </w:rPr>
      </w:pPr>
    </w:p>
    <w:p w14:paraId="6057A0BB">
      <w:pPr>
        <w:pStyle w:val="17"/>
        <w:rPr>
          <w:rFonts w:ascii="宋体" w:hAnsi="宋体" w:cs="仿宋_GB2312"/>
          <w:b/>
          <w:sz w:val="24"/>
          <w:szCs w:val="24"/>
        </w:rPr>
      </w:pPr>
    </w:p>
    <w:p w14:paraId="05DFC2F9">
      <w:pPr>
        <w:pStyle w:val="17"/>
        <w:rPr>
          <w:rFonts w:ascii="宋体" w:hAnsi="宋体" w:cs="仿宋_GB2312"/>
          <w:b/>
          <w:sz w:val="24"/>
          <w:szCs w:val="24"/>
        </w:rPr>
      </w:pPr>
    </w:p>
    <w:p w14:paraId="3BEDE44B">
      <w:pPr>
        <w:pStyle w:val="17"/>
        <w:rPr>
          <w:rFonts w:ascii="宋体" w:hAnsi="宋体" w:cs="仿宋_GB2312"/>
          <w:b/>
          <w:sz w:val="24"/>
          <w:szCs w:val="24"/>
        </w:rPr>
      </w:pPr>
    </w:p>
    <w:p w14:paraId="7687C7ED">
      <w:pPr>
        <w:pStyle w:val="17"/>
        <w:rPr>
          <w:rFonts w:ascii="宋体" w:hAnsi="宋体" w:cs="仿宋_GB2312"/>
          <w:b/>
          <w:sz w:val="24"/>
          <w:szCs w:val="24"/>
        </w:rPr>
      </w:pPr>
    </w:p>
    <w:p w14:paraId="2381DD30">
      <w:pPr>
        <w:pStyle w:val="47"/>
        <w:rPr>
          <w:rFonts w:ascii="宋体" w:hAnsi="宋体" w:cs="宋体"/>
          <w:b/>
          <w:sz w:val="36"/>
          <w:szCs w:val="36"/>
        </w:rPr>
      </w:pPr>
      <w:r>
        <w:rPr>
          <w:rFonts w:ascii="宋体" w:hAnsi="宋体" w:cs="宋体"/>
          <w:b/>
          <w:sz w:val="36"/>
          <w:szCs w:val="36"/>
        </w:rPr>
        <w:t>附件：</w:t>
      </w:r>
    </w:p>
    <w:p w14:paraId="56A81AC2">
      <w:pPr>
        <w:pStyle w:val="47"/>
        <w:jc w:val="center"/>
        <w:rPr>
          <w:rFonts w:hint="default" w:ascii="宋体" w:hAnsi="宋体" w:eastAsia="宋体" w:cs="宋体"/>
          <w:b/>
          <w:sz w:val="36"/>
          <w:szCs w:val="36"/>
          <w:highlight w:val="none"/>
          <w:lang w:val="en-US" w:eastAsia="zh-CN"/>
        </w:rPr>
      </w:pPr>
      <w:r>
        <w:rPr>
          <w:rFonts w:hint="eastAsia" w:ascii="宋体" w:hAnsi="宋体" w:cs="宋体"/>
          <w:b/>
          <w:sz w:val="36"/>
          <w:szCs w:val="36"/>
          <w:highlight w:val="none"/>
          <w:lang w:val="en-US" w:eastAsia="zh-CN"/>
        </w:rPr>
        <w:t>采购内容及要求</w:t>
      </w:r>
    </w:p>
    <w:p w14:paraId="7986B77C">
      <w:pPr>
        <w:pStyle w:val="47"/>
        <w:rPr>
          <w:rFonts w:hint="eastAsia" w:ascii="仿宋" w:hAnsi="仿宋" w:eastAsia="仿宋" w:cs="仿宋"/>
          <w:b/>
          <w:bCs w:val="0"/>
          <w:color w:val="000000" w:themeColor="text1"/>
          <w:sz w:val="36"/>
          <w:szCs w:val="36"/>
          <w:highlight w:val="none"/>
          <w:lang w:val="en-US" w:eastAsia="zh-CN"/>
          <w14:textFill>
            <w14:solidFill>
              <w14:schemeClr w14:val="tx1"/>
            </w14:solidFill>
          </w14:textFill>
        </w:rPr>
      </w:pPr>
      <w:r>
        <w:rPr>
          <w:rFonts w:hint="eastAsia" w:asciiTheme="minorEastAsia" w:hAnsiTheme="minorEastAsia" w:eastAsiaTheme="minorEastAsia" w:cstheme="minorEastAsia"/>
          <w:b/>
          <w:sz w:val="28"/>
          <w:szCs w:val="28"/>
          <w:highlight w:val="none"/>
          <w:lang w:val="en-US" w:eastAsia="zh-CN"/>
        </w:rPr>
        <w:t>一、</w:t>
      </w:r>
      <w:r>
        <w:rPr>
          <w:rFonts w:hint="eastAsia" w:asciiTheme="minorEastAsia" w:hAnsiTheme="minorEastAsia" w:eastAsiaTheme="minorEastAsia" w:cstheme="minorEastAsia"/>
          <w:b/>
          <w:bCs w:val="0"/>
          <w:color w:val="000000" w:themeColor="text1"/>
          <w:sz w:val="28"/>
          <w:szCs w:val="28"/>
          <w:highlight w:val="none"/>
          <w:lang w:val="en-US" w:eastAsia="zh-CN"/>
          <w14:textFill>
            <w14:solidFill>
              <w14:schemeClr w14:val="tx1"/>
            </w14:solidFill>
          </w14:textFill>
        </w:rPr>
        <w:t>采购清单</w:t>
      </w:r>
    </w:p>
    <w:tbl>
      <w:tblPr>
        <w:tblStyle w:val="22"/>
        <w:tblW w:w="50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3"/>
        <w:gridCol w:w="1488"/>
        <w:gridCol w:w="1590"/>
        <w:gridCol w:w="1500"/>
        <w:gridCol w:w="495"/>
        <w:gridCol w:w="825"/>
        <w:gridCol w:w="480"/>
        <w:gridCol w:w="482"/>
        <w:gridCol w:w="3135"/>
      </w:tblGrid>
      <w:tr w14:paraId="0F4A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095E">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序号</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C888">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名称</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2B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内容</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76E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规格（CM)</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F20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单位</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4D9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数量</w:t>
            </w: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FB9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cs="微软雅黑"/>
                <w:i w:val="0"/>
                <w:iCs w:val="0"/>
                <w:color w:val="000000"/>
                <w:kern w:val="0"/>
                <w:sz w:val="16"/>
                <w:szCs w:val="16"/>
                <w:u w:val="none"/>
                <w:lang w:val="en-US" w:eastAsia="zh-CN" w:bidi="ar"/>
              </w:rPr>
              <w:t>单价</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A510">
            <w:pPr>
              <w:keepNext w:val="0"/>
              <w:keepLines w:val="0"/>
              <w:widowControl/>
              <w:suppressLineNumbers w:val="0"/>
              <w:jc w:val="center"/>
              <w:textAlignment w:val="center"/>
              <w:rPr>
                <w:rFonts w:hint="default" w:ascii="微软雅黑" w:hAnsi="微软雅黑" w:cs="微软雅黑"/>
                <w:i w:val="0"/>
                <w:iCs w:val="0"/>
                <w:color w:val="000000"/>
                <w:kern w:val="0"/>
                <w:sz w:val="16"/>
                <w:szCs w:val="16"/>
                <w:u w:val="none"/>
                <w:lang w:val="en-US" w:eastAsia="zh-CN" w:bidi="ar"/>
              </w:rPr>
            </w:pPr>
            <w:r>
              <w:rPr>
                <w:rFonts w:hint="eastAsia" w:ascii="微软雅黑" w:hAnsi="微软雅黑" w:cs="微软雅黑"/>
                <w:i w:val="0"/>
                <w:iCs w:val="0"/>
                <w:color w:val="000000"/>
                <w:kern w:val="0"/>
                <w:sz w:val="16"/>
                <w:szCs w:val="16"/>
                <w:u w:val="none"/>
                <w:lang w:val="en-US" w:eastAsia="zh-CN" w:bidi="ar"/>
              </w:rPr>
              <w:t>总价</w:t>
            </w: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0F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备注</w:t>
            </w:r>
          </w:p>
        </w:tc>
      </w:tr>
      <w:tr w14:paraId="002C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2" w:hRule="atLeast"/>
        </w:trPr>
        <w:tc>
          <w:tcPr>
            <w:tcW w:w="216" w:type="pct"/>
            <w:vMerge w:val="restart"/>
            <w:tcBorders>
              <w:top w:val="single" w:color="000000" w:sz="4" w:space="0"/>
              <w:left w:val="single" w:color="000000" w:sz="4" w:space="0"/>
              <w:right w:val="single" w:color="000000" w:sz="4" w:space="0"/>
            </w:tcBorders>
            <w:shd w:val="clear" w:color="auto" w:fill="auto"/>
            <w:noWrap/>
            <w:vAlign w:val="center"/>
          </w:tcPr>
          <w:p w14:paraId="557CEF4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12" w:type="pct"/>
            <w:vMerge w:val="restart"/>
            <w:tcBorders>
              <w:top w:val="single" w:color="000000" w:sz="4" w:space="0"/>
              <w:left w:val="single" w:color="000000" w:sz="4" w:space="0"/>
              <w:right w:val="single" w:color="000000" w:sz="4" w:space="0"/>
            </w:tcBorders>
            <w:shd w:val="clear" w:color="auto" w:fill="FFFFFF"/>
            <w:vAlign w:val="center"/>
          </w:tcPr>
          <w:p w14:paraId="34E452F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外科楼南侧现有“福建医科大学附属肿瘤医院”标识改为“福建医科大学肿瘤临床医学院”</w:t>
            </w: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D089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铝板冲孔发光字</w:t>
            </w: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壁厚2.0</w:t>
            </w:r>
            <w:r>
              <w:rPr>
                <w:rFonts w:hint="eastAsia" w:ascii="微软雅黑" w:hAnsi="微软雅黑" w:cs="微软雅黑"/>
                <w:i w:val="0"/>
                <w:iCs w:val="0"/>
                <w:color w:val="000000"/>
                <w:kern w:val="0"/>
                <w:sz w:val="18"/>
                <w:szCs w:val="18"/>
                <w:u w:val="none"/>
                <w:lang w:val="en-US" w:eastAsia="zh-CN" w:bidi="ar"/>
              </w:rPr>
              <w:t>mm，误差不超过±0.15mm）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DA8D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字平均尺寸190x178</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BE77D">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字</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6F67D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6E44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73A63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DFC478D">
            <w:pPr>
              <w:keepNext w:val="0"/>
              <w:keepLines w:val="0"/>
              <w:widowControl/>
              <w:numPr>
                <w:ilvl w:val="0"/>
                <w:numId w:val="9"/>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default" w:ascii="微软雅黑" w:hAnsi="微软雅黑" w:cs="微软雅黑"/>
                <w:i w:val="0"/>
                <w:iCs w:val="0"/>
                <w:color w:val="000000"/>
                <w:kern w:val="0"/>
                <w:sz w:val="18"/>
                <w:szCs w:val="18"/>
                <w:u w:val="none"/>
                <w:lang w:val="en-US" w:eastAsia="zh-CN" w:bidi="ar"/>
              </w:rPr>
              <w:t>字合计</w:t>
            </w:r>
            <w:r>
              <w:rPr>
                <w:rFonts w:hint="eastAsia" w:ascii="微软雅黑" w:hAnsi="微软雅黑" w:cs="微软雅黑"/>
                <w:i w:val="0"/>
                <w:iCs w:val="0"/>
                <w:color w:val="000000"/>
                <w:kern w:val="0"/>
                <w:sz w:val="18"/>
                <w:szCs w:val="18"/>
                <w:u w:val="none"/>
                <w:lang w:val="en-US" w:eastAsia="zh-CN" w:bidi="ar"/>
              </w:rPr>
              <w:t>≥39</w:t>
            </w:r>
            <w:r>
              <w:rPr>
                <w:rFonts w:hint="default" w:ascii="微软雅黑" w:hAnsi="微软雅黑" w:cs="微软雅黑"/>
                <w:i w:val="0"/>
                <w:iCs w:val="0"/>
                <w:color w:val="000000"/>
                <w:kern w:val="0"/>
                <w:sz w:val="18"/>
                <w:szCs w:val="18"/>
                <w:u w:val="none"/>
                <w:lang w:val="en-US" w:eastAsia="zh-CN" w:bidi="ar"/>
              </w:rPr>
              <w:t>平方</w:t>
            </w:r>
          </w:p>
          <w:p w14:paraId="77D02E37">
            <w:pPr>
              <w:keepNext w:val="0"/>
              <w:keepLines w:val="0"/>
              <w:widowControl/>
              <w:suppressLineNumbers w:val="0"/>
              <w:jc w:val="left"/>
              <w:rPr>
                <w:rFonts w:hint="default" w:ascii="微软雅黑" w:hAnsi="微软雅黑" w:cs="微软雅黑"/>
                <w:i w:val="0"/>
                <w:iCs w:val="0"/>
                <w:color w:val="000000"/>
                <w:kern w:val="0"/>
                <w:sz w:val="18"/>
                <w:szCs w:val="18"/>
                <w:u w:val="none"/>
                <w:lang w:val="en-US" w:eastAsia="zh-CN" w:bidi="ar"/>
              </w:rPr>
            </w:pPr>
            <w:r>
              <w:rPr>
                <w:rFonts w:hint="default" w:ascii="微软雅黑" w:hAnsi="微软雅黑" w:cs="微软雅黑"/>
                <w:i w:val="0"/>
                <w:iCs w:val="0"/>
                <w:color w:val="000000"/>
                <w:kern w:val="0"/>
                <w:sz w:val="18"/>
                <w:szCs w:val="18"/>
                <w:u w:val="none"/>
                <w:lang w:val="en-US" w:eastAsia="zh-CN" w:bidi="ar"/>
              </w:rPr>
              <w:t>二、</w:t>
            </w:r>
            <w:r>
              <w:rPr>
                <w:rFonts w:hint="eastAsia" w:ascii="微软雅黑" w:hAnsi="微软雅黑" w:cs="微软雅黑"/>
                <w:i w:val="0"/>
                <w:iCs w:val="0"/>
                <w:color w:val="000000"/>
                <w:kern w:val="0"/>
                <w:sz w:val="18"/>
                <w:szCs w:val="18"/>
                <w:u w:val="none"/>
                <w:lang w:val="en-US" w:eastAsia="zh-CN" w:bidi="ar"/>
              </w:rPr>
              <w:t>国内一线品牌防水</w:t>
            </w:r>
            <w:r>
              <w:rPr>
                <w:rFonts w:hint="default" w:ascii="微软雅黑" w:hAnsi="微软雅黑" w:cs="微软雅黑"/>
                <w:i w:val="0"/>
                <w:iCs w:val="0"/>
                <w:color w:val="000000"/>
                <w:kern w:val="0"/>
                <w:sz w:val="18"/>
                <w:szCs w:val="18"/>
                <w:u w:val="none"/>
                <w:lang w:val="en-US" w:eastAsia="zh-CN" w:bidi="ar"/>
              </w:rPr>
              <w:t>LED灯灌胶9mm穿孔灯</w:t>
            </w:r>
            <w:r>
              <w:rPr>
                <w:rFonts w:hint="eastAsia" w:ascii="微软雅黑" w:hAnsi="微软雅黑" w:cs="微软雅黑"/>
                <w:i w:val="0"/>
                <w:iCs w:val="0"/>
                <w:color w:val="000000"/>
                <w:kern w:val="0"/>
                <w:sz w:val="18"/>
                <w:szCs w:val="18"/>
                <w:u w:val="none"/>
                <w:lang w:val="en-US" w:eastAsia="zh-CN" w:bidi="ar"/>
              </w:rPr>
              <w:t>（参数要求不限于：发光角度≥160°，显色指数Ra≥80，防水等级IP68，亮度均匀，一体式注塑外壳，灌胶工艺，具有良好的防水性能）</w:t>
            </w:r>
          </w:p>
          <w:p w14:paraId="2702A7FB">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default" w:ascii="微软雅黑" w:hAnsi="微软雅黑" w:cs="微软雅黑"/>
                <w:i w:val="0"/>
                <w:iCs w:val="0"/>
                <w:color w:val="000000"/>
                <w:kern w:val="0"/>
                <w:sz w:val="18"/>
                <w:szCs w:val="18"/>
                <w:u w:val="none"/>
                <w:lang w:val="en-US" w:eastAsia="zh-CN" w:bidi="ar"/>
              </w:rPr>
              <w:t>三、</w:t>
            </w:r>
            <w:r>
              <w:rPr>
                <w:rFonts w:hint="eastAsia" w:ascii="微软雅黑" w:hAnsi="微软雅黑" w:cs="微软雅黑"/>
                <w:i w:val="0"/>
                <w:iCs w:val="0"/>
                <w:color w:val="000000"/>
                <w:kern w:val="0"/>
                <w:sz w:val="18"/>
                <w:szCs w:val="18"/>
                <w:u w:val="none"/>
                <w:lang w:val="en-US" w:eastAsia="zh-CN" w:bidi="ar"/>
              </w:rPr>
              <w:t>发光字标识，支撑钢架、底板等整体材料需要</w:t>
            </w:r>
            <w:r>
              <w:rPr>
                <w:rFonts w:hint="default" w:ascii="微软雅黑" w:hAnsi="微软雅黑" w:cs="微软雅黑"/>
                <w:i w:val="0"/>
                <w:iCs w:val="0"/>
                <w:color w:val="000000"/>
                <w:kern w:val="0"/>
                <w:sz w:val="18"/>
                <w:szCs w:val="18"/>
                <w:u w:val="none"/>
                <w:lang w:val="en-US" w:eastAsia="zh-CN" w:bidi="ar"/>
              </w:rPr>
              <w:t>防锈处理，</w:t>
            </w:r>
            <w:r>
              <w:rPr>
                <w:rFonts w:hint="eastAsia" w:ascii="微软雅黑" w:hAnsi="微软雅黑" w:cs="微软雅黑"/>
                <w:i w:val="0"/>
                <w:iCs w:val="0"/>
                <w:color w:val="000000"/>
                <w:kern w:val="0"/>
                <w:sz w:val="18"/>
                <w:szCs w:val="18"/>
                <w:u w:val="none"/>
                <w:lang w:val="en-US" w:eastAsia="zh-CN" w:bidi="ar"/>
              </w:rPr>
              <w:t>发光字标识采用</w:t>
            </w:r>
            <w:r>
              <w:rPr>
                <w:rFonts w:hint="default" w:ascii="微软雅黑" w:hAnsi="微软雅黑" w:cs="微软雅黑"/>
                <w:i w:val="0"/>
                <w:iCs w:val="0"/>
                <w:color w:val="000000"/>
                <w:kern w:val="0"/>
                <w:sz w:val="18"/>
                <w:szCs w:val="18"/>
                <w:u w:val="none"/>
                <w:lang w:val="en-US" w:eastAsia="zh-CN" w:bidi="ar"/>
              </w:rPr>
              <w:t>氟碳漆工艺</w:t>
            </w:r>
            <w:r>
              <w:rPr>
                <w:rFonts w:hint="eastAsia" w:ascii="微软雅黑" w:hAnsi="微软雅黑" w:cs="微软雅黑"/>
                <w:i w:val="0"/>
                <w:iCs w:val="0"/>
                <w:color w:val="000000"/>
                <w:kern w:val="0"/>
                <w:sz w:val="18"/>
                <w:szCs w:val="18"/>
                <w:u w:val="none"/>
                <w:lang w:val="en-US" w:eastAsia="zh-CN" w:bidi="ar"/>
              </w:rPr>
              <w:t>，</w:t>
            </w:r>
            <w:r>
              <w:rPr>
                <w:rFonts w:hint="default" w:ascii="微软雅黑" w:hAnsi="微软雅黑" w:cs="微软雅黑"/>
                <w:i w:val="0"/>
                <w:iCs w:val="0"/>
                <w:color w:val="000000"/>
                <w:kern w:val="0"/>
                <w:sz w:val="18"/>
                <w:szCs w:val="18"/>
                <w:u w:val="none"/>
                <w:lang w:val="en-US" w:eastAsia="zh-CN" w:bidi="ar"/>
              </w:rPr>
              <w:t>喷红色汽车漆</w:t>
            </w:r>
          </w:p>
          <w:p w14:paraId="775F480E">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四、</w:t>
            </w:r>
            <w:r>
              <w:rPr>
                <w:rFonts w:hint="default" w:ascii="微软雅黑" w:hAnsi="微软雅黑" w:cs="微软雅黑"/>
                <w:i w:val="0"/>
                <w:iCs w:val="0"/>
                <w:color w:val="000000"/>
                <w:kern w:val="0"/>
                <w:sz w:val="18"/>
                <w:szCs w:val="18"/>
                <w:u w:val="none"/>
                <w:lang w:val="en-US" w:eastAsia="zh-CN" w:bidi="ar"/>
              </w:rPr>
              <w:t>发光字安装需</w:t>
            </w:r>
            <w:r>
              <w:rPr>
                <w:rFonts w:hint="eastAsia" w:ascii="微软雅黑" w:hAnsi="微软雅黑" w:cs="微软雅黑"/>
                <w:i w:val="0"/>
                <w:iCs w:val="0"/>
                <w:color w:val="000000"/>
                <w:kern w:val="0"/>
                <w:sz w:val="18"/>
                <w:szCs w:val="18"/>
                <w:u w:val="none"/>
                <w:lang w:val="en-US" w:eastAsia="zh-CN" w:bidi="ar"/>
              </w:rPr>
              <w:t>确保</w:t>
            </w:r>
            <w:r>
              <w:rPr>
                <w:rFonts w:hint="default" w:ascii="微软雅黑" w:hAnsi="微软雅黑" w:cs="微软雅黑"/>
                <w:i w:val="0"/>
                <w:iCs w:val="0"/>
                <w:color w:val="000000"/>
                <w:kern w:val="0"/>
                <w:sz w:val="18"/>
                <w:szCs w:val="18"/>
                <w:u w:val="none"/>
                <w:lang w:val="en-US" w:eastAsia="zh-CN" w:bidi="ar"/>
              </w:rPr>
              <w:t>表面平整，无翘边、漏光</w:t>
            </w:r>
            <w:r>
              <w:rPr>
                <w:rFonts w:hint="eastAsia" w:ascii="微软雅黑" w:hAnsi="微软雅黑" w:cs="微软雅黑"/>
                <w:i w:val="0"/>
                <w:iCs w:val="0"/>
                <w:color w:val="000000"/>
                <w:kern w:val="0"/>
                <w:sz w:val="18"/>
                <w:szCs w:val="18"/>
                <w:u w:val="none"/>
                <w:lang w:val="en-US" w:eastAsia="zh-CN" w:bidi="ar"/>
              </w:rPr>
              <w:t>问题，发光亮度均匀适宜</w:t>
            </w:r>
            <w:r>
              <w:rPr>
                <w:rFonts w:hint="default" w:ascii="微软雅黑" w:hAnsi="微软雅黑" w:cs="微软雅黑"/>
                <w:i w:val="0"/>
                <w:iCs w:val="0"/>
                <w:color w:val="000000"/>
                <w:kern w:val="0"/>
                <w:sz w:val="18"/>
                <w:szCs w:val="18"/>
                <w:u w:val="none"/>
                <w:lang w:val="en-US" w:eastAsia="zh-CN" w:bidi="ar"/>
              </w:rPr>
              <w:t>。</w:t>
            </w:r>
          </w:p>
          <w:p w14:paraId="4EF741CA">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drawing>
                <wp:inline distT="0" distB="0" distL="114300" distR="114300">
                  <wp:extent cx="1834515" cy="1989455"/>
                  <wp:effectExtent l="0" t="0" r="13335" b="10795"/>
                  <wp:docPr id="51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 name="图片 4"/>
                          <pic:cNvPicPr>
                            <a:picLocks noChangeAspect="1"/>
                          </pic:cNvPicPr>
                        </pic:nvPicPr>
                        <pic:blipFill>
                          <a:blip r:embed="rId5"/>
                          <a:stretch>
                            <a:fillRect/>
                          </a:stretch>
                        </pic:blipFill>
                        <pic:spPr>
                          <a:xfrm>
                            <a:off x="0" y="0"/>
                            <a:ext cx="1834515" cy="1989455"/>
                          </a:xfrm>
                          <a:prstGeom prst="rect">
                            <a:avLst/>
                          </a:prstGeom>
                          <a:noFill/>
                          <a:ln w="9525">
                            <a:noFill/>
                          </a:ln>
                        </pic:spPr>
                      </pic:pic>
                    </a:graphicData>
                  </a:graphic>
                </wp:inline>
              </w:drawing>
            </w:r>
            <w:r>
              <w:drawing>
                <wp:anchor distT="0" distB="0" distL="114300" distR="114300" simplePos="0" relativeHeight="251660288" behindDoc="0" locked="0" layoutInCell="1" allowOverlap="1">
                  <wp:simplePos x="0" y="0"/>
                  <wp:positionH relativeFrom="column">
                    <wp:posOffset>239395</wp:posOffset>
                  </wp:positionH>
                  <wp:positionV relativeFrom="paragraph">
                    <wp:posOffset>141605</wp:posOffset>
                  </wp:positionV>
                  <wp:extent cx="1304290" cy="516890"/>
                  <wp:effectExtent l="0" t="0" r="10160" b="16510"/>
                  <wp:wrapTopAndBottom/>
                  <wp:docPr id="51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 name="图片 3"/>
                          <pic:cNvPicPr>
                            <a:picLocks noChangeAspect="1"/>
                          </pic:cNvPicPr>
                        </pic:nvPicPr>
                        <pic:blipFill>
                          <a:blip r:embed="rId6"/>
                          <a:stretch>
                            <a:fillRect/>
                          </a:stretch>
                        </pic:blipFill>
                        <pic:spPr>
                          <a:xfrm>
                            <a:off x="0" y="0"/>
                            <a:ext cx="1304290" cy="516890"/>
                          </a:xfrm>
                          <a:prstGeom prst="rect">
                            <a:avLst/>
                          </a:prstGeom>
                          <a:noFill/>
                          <a:ln w="9525">
                            <a:noFill/>
                          </a:ln>
                        </pic:spPr>
                      </pic:pic>
                    </a:graphicData>
                  </a:graphic>
                </wp:anchor>
              </w:drawing>
            </w:r>
          </w:p>
        </w:tc>
      </w:tr>
      <w:tr w14:paraId="73A2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216" w:type="pct"/>
            <w:vMerge w:val="continue"/>
            <w:tcBorders>
              <w:left w:val="single" w:color="000000" w:sz="4" w:space="0"/>
              <w:right w:val="single" w:color="000000" w:sz="4" w:space="0"/>
            </w:tcBorders>
            <w:shd w:val="clear" w:color="auto" w:fill="auto"/>
            <w:noWrap/>
            <w:vAlign w:val="center"/>
          </w:tcPr>
          <w:p w14:paraId="4FEF807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p>
        </w:tc>
        <w:tc>
          <w:tcPr>
            <w:tcW w:w="712" w:type="pct"/>
            <w:vMerge w:val="continue"/>
            <w:tcBorders>
              <w:left w:val="single" w:color="000000" w:sz="4" w:space="0"/>
              <w:right w:val="single" w:color="000000" w:sz="4" w:space="0"/>
            </w:tcBorders>
            <w:shd w:val="clear" w:color="auto" w:fill="FFFFFF"/>
            <w:vAlign w:val="center"/>
          </w:tcPr>
          <w:p w14:paraId="1C8BDD3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5060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12V变压器</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E509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七彩芯防雨电源400w-12v-CE认证</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1FA6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43E0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24</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47B7D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51BE8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23DD9C">
            <w:pPr>
              <w:jc w:val="left"/>
              <w:rPr>
                <w:rFonts w:hint="eastAsia" w:ascii="微软雅黑" w:hAnsi="微软雅黑" w:eastAsia="微软雅黑" w:cs="微软雅黑"/>
                <w:i w:val="0"/>
                <w:iCs w:val="0"/>
                <w:color w:val="000000"/>
                <w:sz w:val="16"/>
                <w:szCs w:val="16"/>
                <w:u w:val="none"/>
              </w:rPr>
            </w:pPr>
          </w:p>
        </w:tc>
      </w:tr>
      <w:tr w14:paraId="22C7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16" w:type="pct"/>
            <w:vMerge w:val="continue"/>
            <w:tcBorders>
              <w:left w:val="single" w:color="000000" w:sz="4" w:space="0"/>
              <w:right w:val="single" w:color="000000" w:sz="4" w:space="0"/>
            </w:tcBorders>
            <w:shd w:val="clear" w:color="auto" w:fill="auto"/>
            <w:noWrap/>
            <w:vAlign w:val="center"/>
          </w:tcPr>
          <w:p w14:paraId="454D20D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p>
        </w:tc>
        <w:tc>
          <w:tcPr>
            <w:tcW w:w="712" w:type="pct"/>
            <w:vMerge w:val="continue"/>
            <w:tcBorders>
              <w:left w:val="single" w:color="000000" w:sz="4" w:space="0"/>
              <w:right w:val="single" w:color="000000" w:sz="4" w:space="0"/>
            </w:tcBorders>
            <w:shd w:val="clear" w:color="auto" w:fill="FFFFFF"/>
            <w:vAlign w:val="center"/>
          </w:tcPr>
          <w:p w14:paraId="3984BB4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020A0">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lang w:val="en-US"/>
              </w:rPr>
            </w:pPr>
            <w:r>
              <w:rPr>
                <w:rFonts w:hint="eastAsia" w:ascii="微软雅黑" w:hAnsi="微软雅黑" w:eastAsia="微软雅黑" w:cs="微软雅黑"/>
                <w:i w:val="0"/>
                <w:iCs w:val="0"/>
                <w:color w:val="000000"/>
                <w:kern w:val="0"/>
                <w:sz w:val="18"/>
                <w:szCs w:val="18"/>
                <w:u w:val="none"/>
                <w:lang w:val="en-US" w:eastAsia="zh-CN" w:bidi="ar"/>
              </w:rPr>
              <w:t>热镀锌方管（壁厚2.0mm，误差不超过±0.15mm）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D20B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方管尺寸</w:t>
            </w:r>
            <w:r>
              <w:rPr>
                <w:rFonts w:hint="eastAsia" w:ascii="微软雅黑" w:hAnsi="微软雅黑" w:eastAsia="微软雅黑" w:cs="微软雅黑"/>
                <w:i w:val="0"/>
                <w:iCs w:val="0"/>
                <w:color w:val="000000"/>
                <w:kern w:val="0"/>
                <w:sz w:val="18"/>
                <w:szCs w:val="18"/>
                <w:u w:val="none"/>
                <w:lang w:val="en-US" w:eastAsia="zh-CN" w:bidi="ar"/>
              </w:rPr>
              <w:t>4x4</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1BBA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米</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2770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20</w:t>
            </w:r>
            <w:r>
              <w:rPr>
                <w:rFonts w:hint="eastAsia" w:ascii="微软雅黑" w:hAnsi="微软雅黑" w:cs="微软雅黑"/>
                <w:i w:val="0"/>
                <w:iCs w:val="0"/>
                <w:color w:val="000000"/>
                <w:kern w:val="0"/>
                <w:sz w:val="18"/>
                <w:szCs w:val="18"/>
                <w:u w:val="none"/>
                <w:lang w:val="en-US" w:eastAsia="zh-CN" w:bidi="ar"/>
              </w:rPr>
              <w:t>8</w:t>
            </w:r>
            <w:r>
              <w:rPr>
                <w:rFonts w:hint="eastAsia" w:ascii="微软雅黑" w:hAnsi="微软雅黑" w:cs="微软雅黑"/>
                <w:i w:val="0"/>
                <w:iCs w:val="0"/>
                <w:color w:val="000000"/>
                <w:kern w:val="0"/>
                <w:sz w:val="18"/>
                <w:szCs w:val="18"/>
                <w:highlight w:val="none"/>
                <w:u w:val="none"/>
                <w:lang w:val="en-US" w:eastAsia="zh-CN" w:bidi="ar"/>
              </w:rPr>
              <w:t>（误差±2）</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B92AA">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6ADEC">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1500"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C0B8E1">
            <w:pPr>
              <w:jc w:val="left"/>
              <w:rPr>
                <w:rFonts w:hint="eastAsia" w:ascii="微软雅黑" w:hAnsi="微软雅黑" w:eastAsia="微软雅黑" w:cs="微软雅黑"/>
                <w:i w:val="0"/>
                <w:iCs w:val="0"/>
                <w:color w:val="000000"/>
                <w:sz w:val="16"/>
                <w:szCs w:val="16"/>
                <w:u w:val="none"/>
              </w:rPr>
            </w:pPr>
          </w:p>
        </w:tc>
      </w:tr>
      <w:tr w14:paraId="01EF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216" w:type="pct"/>
            <w:vMerge w:val="continue"/>
            <w:tcBorders>
              <w:left w:val="single" w:color="000000" w:sz="4" w:space="0"/>
              <w:right w:val="single" w:color="000000" w:sz="4" w:space="0"/>
            </w:tcBorders>
            <w:shd w:val="clear" w:color="auto" w:fill="auto"/>
            <w:noWrap/>
            <w:vAlign w:val="center"/>
          </w:tcPr>
          <w:p w14:paraId="5E80B17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p>
        </w:tc>
        <w:tc>
          <w:tcPr>
            <w:tcW w:w="712" w:type="pct"/>
            <w:vMerge w:val="continue"/>
            <w:tcBorders>
              <w:left w:val="single" w:color="000000" w:sz="4" w:space="0"/>
              <w:right w:val="single" w:color="000000" w:sz="4" w:space="0"/>
            </w:tcBorders>
            <w:shd w:val="clear" w:color="auto" w:fill="FFFFFF"/>
            <w:vAlign w:val="center"/>
          </w:tcPr>
          <w:p w14:paraId="22DF0E4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F5B0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电线、玻璃胶及</w:t>
            </w:r>
            <w:r>
              <w:rPr>
                <w:rFonts w:hint="eastAsia" w:ascii="微软雅黑" w:hAnsi="微软雅黑" w:cs="微软雅黑"/>
                <w:i w:val="0"/>
                <w:iCs w:val="0"/>
                <w:color w:val="000000"/>
                <w:kern w:val="0"/>
                <w:sz w:val="18"/>
                <w:szCs w:val="18"/>
                <w:u w:val="none"/>
                <w:lang w:val="en-US" w:eastAsia="zh-CN" w:bidi="ar"/>
              </w:rPr>
              <w:t>所需的全部</w:t>
            </w:r>
            <w:r>
              <w:rPr>
                <w:rFonts w:hint="eastAsia" w:ascii="微软雅黑" w:hAnsi="微软雅黑" w:eastAsia="微软雅黑" w:cs="微软雅黑"/>
                <w:i w:val="0"/>
                <w:iCs w:val="0"/>
                <w:color w:val="000000"/>
                <w:kern w:val="0"/>
                <w:sz w:val="18"/>
                <w:szCs w:val="18"/>
                <w:u w:val="none"/>
                <w:lang w:val="en-US" w:eastAsia="zh-CN" w:bidi="ar"/>
              </w:rPr>
              <w:t>辅材</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C099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太阳牌电线WDZB-BYJ4.0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8AC7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4CDD9">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F2CC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B31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6082BD">
            <w:pPr>
              <w:jc w:val="left"/>
              <w:rPr>
                <w:rFonts w:hint="eastAsia" w:ascii="微软雅黑" w:hAnsi="微软雅黑" w:eastAsia="微软雅黑" w:cs="微软雅黑"/>
                <w:i w:val="0"/>
                <w:iCs w:val="0"/>
                <w:color w:val="000000"/>
                <w:sz w:val="16"/>
                <w:szCs w:val="16"/>
                <w:u w:val="none"/>
              </w:rPr>
            </w:pPr>
          </w:p>
        </w:tc>
      </w:tr>
      <w:tr w14:paraId="20B73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6" w:type="pct"/>
            <w:vMerge w:val="continue"/>
            <w:tcBorders>
              <w:left w:val="single" w:color="000000" w:sz="4" w:space="0"/>
              <w:bottom w:val="single" w:color="000000" w:sz="4" w:space="0"/>
              <w:right w:val="single" w:color="000000" w:sz="4" w:space="0"/>
            </w:tcBorders>
            <w:shd w:val="clear" w:color="auto" w:fill="auto"/>
            <w:noWrap/>
            <w:vAlign w:val="center"/>
          </w:tcPr>
          <w:p w14:paraId="55BD8E6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p>
        </w:tc>
        <w:tc>
          <w:tcPr>
            <w:tcW w:w="712" w:type="pct"/>
            <w:vMerge w:val="continue"/>
            <w:tcBorders>
              <w:left w:val="single" w:color="000000" w:sz="4" w:space="0"/>
              <w:bottom w:val="single" w:color="000000" w:sz="4" w:space="0"/>
              <w:right w:val="single" w:color="000000" w:sz="4" w:space="0"/>
            </w:tcBorders>
            <w:shd w:val="clear" w:color="auto" w:fill="FFFFFF"/>
            <w:vAlign w:val="center"/>
          </w:tcPr>
          <w:p w14:paraId="4863F5D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7E8A1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拆字+</w:t>
            </w:r>
            <w:r>
              <w:rPr>
                <w:rFonts w:hint="eastAsia" w:ascii="微软雅黑" w:hAnsi="微软雅黑" w:eastAsia="微软雅黑" w:cs="微软雅黑"/>
                <w:i w:val="0"/>
                <w:iCs w:val="0"/>
                <w:color w:val="000000"/>
                <w:kern w:val="0"/>
                <w:sz w:val="18"/>
                <w:szCs w:val="18"/>
                <w:u w:val="none"/>
                <w:lang w:val="en-US" w:eastAsia="zh-CN" w:bidi="ar"/>
              </w:rPr>
              <w:t>安装+吊装</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1378B">
            <w:pPr>
              <w:jc w:val="center"/>
              <w:rPr>
                <w:rFonts w:hint="default"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字体固定、线路连接、安装调试、含运费（包括</w:t>
            </w:r>
            <w:r>
              <w:rPr>
                <w:rFonts w:hint="eastAsia" w:ascii="微软雅黑" w:hAnsi="微软雅黑" w:eastAsia="微软雅黑" w:cs="微软雅黑"/>
                <w:i w:val="0"/>
                <w:iCs w:val="0"/>
                <w:color w:val="000000"/>
                <w:kern w:val="0"/>
                <w:sz w:val="18"/>
                <w:szCs w:val="18"/>
                <w:u w:val="none"/>
                <w:lang w:val="en-US" w:eastAsia="zh-CN" w:bidi="ar"/>
              </w:rPr>
              <w:t>“福建医科大学肿瘤临床医学院”</w:t>
            </w:r>
            <w:r>
              <w:rPr>
                <w:rFonts w:hint="eastAsia" w:ascii="微软雅黑" w:hAnsi="微软雅黑" w:cs="微软雅黑"/>
                <w:i w:val="0"/>
                <w:iCs w:val="0"/>
                <w:color w:val="000000"/>
                <w:sz w:val="18"/>
                <w:szCs w:val="18"/>
                <w:u w:val="none"/>
                <w:lang w:val="en-US" w:eastAsia="zh-CN"/>
              </w:rPr>
              <w:t>13个字标识和院徽logo）和吊装费</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72DB8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CEE2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8C7E4">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DD8568">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1500"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3DE4F8">
            <w:pPr>
              <w:jc w:val="left"/>
              <w:rPr>
                <w:rFonts w:hint="eastAsia" w:ascii="微软雅黑" w:hAnsi="微软雅黑" w:eastAsia="微软雅黑" w:cs="微软雅黑"/>
                <w:i w:val="0"/>
                <w:iCs w:val="0"/>
                <w:color w:val="000000"/>
                <w:sz w:val="16"/>
                <w:szCs w:val="16"/>
                <w:u w:val="none"/>
              </w:rPr>
            </w:pPr>
          </w:p>
        </w:tc>
      </w:tr>
      <w:tr w14:paraId="5F420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216" w:type="pct"/>
            <w:vMerge w:val="restart"/>
            <w:tcBorders>
              <w:top w:val="single" w:color="000000" w:sz="4" w:space="0"/>
              <w:left w:val="single" w:color="000000" w:sz="4" w:space="0"/>
              <w:right w:val="single" w:color="000000" w:sz="4" w:space="0"/>
            </w:tcBorders>
            <w:shd w:val="clear" w:color="auto" w:fill="auto"/>
            <w:noWrap/>
            <w:vAlign w:val="center"/>
          </w:tcPr>
          <w:p w14:paraId="05420D1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712" w:type="pct"/>
            <w:vMerge w:val="restart"/>
            <w:tcBorders>
              <w:top w:val="single" w:color="000000" w:sz="4" w:space="0"/>
              <w:left w:val="single" w:color="000000" w:sz="4" w:space="0"/>
              <w:right w:val="single" w:color="000000" w:sz="4" w:space="0"/>
            </w:tcBorders>
            <w:shd w:val="clear" w:color="auto" w:fill="FFFFFF"/>
            <w:vAlign w:val="center"/>
          </w:tcPr>
          <w:p w14:paraId="39F336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将外科楼南侧红十字logo变更为院徽</w:t>
            </w: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5BF9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铝板3M布灯箱（logo）</w:t>
            </w:r>
            <w:r>
              <w:rPr>
                <w:rFonts w:hint="eastAsia" w:ascii="微软雅黑" w:hAnsi="微软雅黑" w:cs="微软雅黑"/>
                <w:i w:val="0"/>
                <w:iCs w:val="0"/>
                <w:color w:val="000000"/>
                <w:kern w:val="0"/>
                <w:sz w:val="18"/>
                <w:szCs w:val="18"/>
                <w:u w:val="none"/>
                <w:lang w:val="en-US" w:eastAsia="zh-CN" w:bidi="ar"/>
              </w:rPr>
              <w:t>（ 箱体厚度12cm，误差不超过±0.2cm）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2105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400x400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0C59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个</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098D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08FCA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8321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restart"/>
            <w:tcBorders>
              <w:top w:val="nil"/>
              <w:left w:val="single" w:color="000000" w:sz="4" w:space="0"/>
              <w:bottom w:val="single" w:color="000000" w:sz="4" w:space="0"/>
              <w:right w:val="single" w:color="000000" w:sz="4" w:space="0"/>
            </w:tcBorders>
            <w:shd w:val="clear" w:color="auto" w:fill="auto"/>
            <w:vAlign w:val="top"/>
          </w:tcPr>
          <w:p w14:paraId="164F2D9C">
            <w:pPr>
              <w:keepNext w:val="0"/>
              <w:keepLines w:val="0"/>
              <w:widowControl/>
              <w:numPr>
                <w:ilvl w:val="0"/>
                <w:numId w:val="0"/>
              </w:numPr>
              <w:suppressLineNumbers w:val="0"/>
              <w:jc w:val="left"/>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sz w:val="18"/>
                <w:szCs w:val="18"/>
                <w:u w:val="none"/>
              </w:rPr>
              <w:t>一、</w:t>
            </w:r>
            <w:r>
              <w:rPr>
                <w:rFonts w:hint="eastAsia" w:ascii="微软雅黑" w:hAnsi="微软雅黑" w:cs="微软雅黑"/>
                <w:i w:val="0"/>
                <w:iCs w:val="0"/>
                <w:color w:val="000000"/>
                <w:sz w:val="18"/>
                <w:szCs w:val="18"/>
                <w:u w:val="none"/>
                <w:lang w:val="en-US" w:eastAsia="zh-CN"/>
              </w:rPr>
              <w:t>灯箱</w:t>
            </w:r>
            <w:r>
              <w:rPr>
                <w:rFonts w:hint="eastAsia" w:ascii="微软雅黑" w:hAnsi="微软雅黑" w:eastAsia="微软雅黑" w:cs="微软雅黑"/>
                <w:i w:val="0"/>
                <w:iCs w:val="0"/>
                <w:color w:val="000000"/>
                <w:sz w:val="18"/>
                <w:szCs w:val="18"/>
                <w:u w:val="none"/>
              </w:rPr>
              <w:t>合计</w:t>
            </w: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sz w:val="18"/>
                <w:szCs w:val="18"/>
                <w:u w:val="none"/>
              </w:rPr>
              <w:t>16平方</w:t>
            </w:r>
          </w:p>
          <w:p w14:paraId="5D59ABF0">
            <w:pPr>
              <w:keepNext w:val="0"/>
              <w:keepLines w:val="0"/>
              <w:widowControl/>
              <w:numPr>
                <w:ilvl w:val="0"/>
                <w:numId w:val="0"/>
              </w:numPr>
              <w:suppressLineNumbers w:val="0"/>
              <w:jc w:val="left"/>
              <w:textAlignment w:val="top"/>
              <w:rPr>
                <w:rFonts w:hint="eastAsia" w:ascii="微软雅黑" w:hAnsi="微软雅黑" w:eastAsia="微软雅黑" w:cs="微软雅黑"/>
                <w:i w:val="0"/>
                <w:iCs w:val="0"/>
                <w:color w:val="000000"/>
                <w:sz w:val="18"/>
                <w:szCs w:val="18"/>
                <w:u w:val="none"/>
                <w:lang w:eastAsia="zh-CN"/>
              </w:rPr>
            </w:pPr>
            <w:r>
              <w:rPr>
                <w:rFonts w:hint="eastAsia" w:ascii="微软雅黑" w:hAnsi="微软雅黑" w:eastAsia="微软雅黑" w:cs="微软雅黑"/>
                <w:i w:val="0"/>
                <w:iCs w:val="0"/>
                <w:color w:val="000000"/>
                <w:sz w:val="18"/>
                <w:szCs w:val="18"/>
                <w:u w:val="none"/>
              </w:rPr>
              <w:t>二、</w:t>
            </w:r>
            <w:r>
              <w:rPr>
                <w:rFonts w:hint="eastAsia" w:ascii="微软雅黑" w:hAnsi="微软雅黑" w:cs="微软雅黑"/>
                <w:i w:val="0"/>
                <w:iCs w:val="0"/>
                <w:color w:val="000000"/>
                <w:kern w:val="0"/>
                <w:sz w:val="18"/>
                <w:szCs w:val="18"/>
                <w:u w:val="none"/>
                <w:lang w:val="en-US" w:eastAsia="zh-CN" w:bidi="ar"/>
              </w:rPr>
              <w:t>国内一线品牌防水</w:t>
            </w:r>
            <w:r>
              <w:rPr>
                <w:rFonts w:hint="eastAsia" w:ascii="微软雅黑" w:hAnsi="微软雅黑" w:eastAsia="微软雅黑" w:cs="微软雅黑"/>
                <w:i w:val="0"/>
                <w:iCs w:val="0"/>
                <w:color w:val="000000"/>
                <w:sz w:val="18"/>
                <w:szCs w:val="18"/>
                <w:u w:val="none"/>
              </w:rPr>
              <w:t>漫放射灯</w:t>
            </w:r>
            <w:r>
              <w:rPr>
                <w:rFonts w:hint="eastAsia" w:ascii="微软雅黑" w:hAnsi="微软雅黑" w:cs="微软雅黑"/>
                <w:i w:val="0"/>
                <w:iCs w:val="0"/>
                <w:color w:val="000000"/>
                <w:kern w:val="0"/>
                <w:sz w:val="18"/>
                <w:szCs w:val="18"/>
                <w:u w:val="none"/>
                <w:lang w:val="en-US" w:eastAsia="zh-CN" w:bidi="ar"/>
              </w:rPr>
              <w:t>（参数要求不限于：色温≥9000K，发光角度≥170°，显色指数Ra≥80，防水等级IP67，发光均匀，亮度合适，</w:t>
            </w:r>
            <w:r>
              <w:rPr>
                <w:rFonts w:hint="eastAsia" w:ascii="微软雅黑" w:hAnsi="微软雅黑" w:cs="微软雅黑"/>
                <w:color w:val="231916"/>
                <w:kern w:val="0"/>
                <w:sz w:val="16"/>
                <w:szCs w:val="16"/>
                <w:lang w:val="en-US" w:eastAsia="zh-CN" w:bidi="ar"/>
              </w:rPr>
              <w:t>具有良好的</w:t>
            </w:r>
            <w:r>
              <w:rPr>
                <w:rFonts w:ascii="微软雅黑" w:hAnsi="微软雅黑" w:eastAsia="微软雅黑" w:cs="微软雅黑"/>
                <w:color w:val="231916"/>
                <w:kern w:val="0"/>
                <w:sz w:val="16"/>
                <w:szCs w:val="16"/>
                <w:lang w:val="en-US" w:eastAsia="zh-CN" w:bidi="ar"/>
              </w:rPr>
              <w:t>防水性能</w:t>
            </w:r>
            <w:r>
              <w:rPr>
                <w:rFonts w:hint="eastAsia" w:ascii="微软雅黑" w:hAnsi="微软雅黑" w:cs="微软雅黑"/>
                <w:i w:val="0"/>
                <w:iCs w:val="0"/>
                <w:color w:val="000000"/>
                <w:sz w:val="18"/>
                <w:szCs w:val="18"/>
                <w:u w:val="none"/>
                <w:lang w:eastAsia="zh-CN"/>
              </w:rPr>
              <w:t>）</w:t>
            </w:r>
          </w:p>
          <w:p w14:paraId="3D9BDCB4">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sz w:val="18"/>
                <w:szCs w:val="18"/>
                <w:u w:val="none"/>
              </w:rPr>
              <w:t>三、</w:t>
            </w:r>
            <w:r>
              <w:rPr>
                <w:rFonts w:hint="eastAsia" w:ascii="微软雅黑" w:hAnsi="微软雅黑" w:cs="微软雅黑"/>
                <w:i w:val="0"/>
                <w:iCs w:val="0"/>
                <w:color w:val="000000"/>
                <w:sz w:val="18"/>
                <w:szCs w:val="18"/>
                <w:u w:val="none"/>
                <w:lang w:val="en-US" w:eastAsia="zh-CN"/>
              </w:rPr>
              <w:t>灯箱</w:t>
            </w:r>
            <w:r>
              <w:rPr>
                <w:rFonts w:hint="eastAsia" w:ascii="微软雅黑" w:hAnsi="微软雅黑" w:cs="微软雅黑"/>
                <w:i w:val="0"/>
                <w:iCs w:val="0"/>
                <w:color w:val="000000"/>
                <w:kern w:val="0"/>
                <w:sz w:val="18"/>
                <w:szCs w:val="18"/>
                <w:u w:val="none"/>
                <w:lang w:val="en-US" w:eastAsia="zh-CN" w:bidi="ar"/>
              </w:rPr>
              <w:t>，支撑钢架、底板等整体材料需要</w:t>
            </w:r>
            <w:r>
              <w:rPr>
                <w:rFonts w:hint="default" w:ascii="微软雅黑" w:hAnsi="微软雅黑" w:cs="微软雅黑"/>
                <w:i w:val="0"/>
                <w:iCs w:val="0"/>
                <w:color w:val="000000"/>
                <w:kern w:val="0"/>
                <w:sz w:val="18"/>
                <w:szCs w:val="18"/>
                <w:u w:val="none"/>
                <w:lang w:val="en-US" w:eastAsia="zh-CN" w:bidi="ar"/>
              </w:rPr>
              <w:t>防锈处理，</w:t>
            </w:r>
            <w:r>
              <w:rPr>
                <w:rFonts w:hint="eastAsia" w:ascii="微软雅黑" w:hAnsi="微软雅黑" w:cs="微软雅黑"/>
                <w:i w:val="0"/>
                <w:iCs w:val="0"/>
                <w:color w:val="000000"/>
                <w:kern w:val="0"/>
                <w:sz w:val="18"/>
                <w:szCs w:val="18"/>
                <w:u w:val="none"/>
                <w:lang w:val="en-US" w:eastAsia="zh-CN" w:bidi="ar"/>
              </w:rPr>
              <w:t>灯箱采用</w:t>
            </w:r>
            <w:r>
              <w:rPr>
                <w:rFonts w:hint="default" w:ascii="微软雅黑" w:hAnsi="微软雅黑" w:cs="微软雅黑"/>
                <w:i w:val="0"/>
                <w:iCs w:val="0"/>
                <w:color w:val="000000"/>
                <w:kern w:val="0"/>
                <w:sz w:val="18"/>
                <w:szCs w:val="18"/>
                <w:u w:val="none"/>
                <w:lang w:val="en-US" w:eastAsia="zh-CN" w:bidi="ar"/>
              </w:rPr>
              <w:t>氟碳漆工艺</w:t>
            </w:r>
            <w:r>
              <w:rPr>
                <w:rFonts w:hint="eastAsia" w:ascii="微软雅黑" w:hAnsi="微软雅黑" w:cs="微软雅黑"/>
                <w:i w:val="0"/>
                <w:iCs w:val="0"/>
                <w:color w:val="000000"/>
                <w:kern w:val="0"/>
                <w:sz w:val="18"/>
                <w:szCs w:val="18"/>
                <w:u w:val="none"/>
                <w:lang w:val="en-US" w:eastAsia="zh-CN" w:bidi="ar"/>
              </w:rPr>
              <w:t>，</w:t>
            </w:r>
            <w:r>
              <w:rPr>
                <w:rFonts w:hint="default" w:ascii="微软雅黑" w:hAnsi="微软雅黑" w:cs="微软雅黑"/>
                <w:i w:val="0"/>
                <w:iCs w:val="0"/>
                <w:color w:val="000000"/>
                <w:kern w:val="0"/>
                <w:sz w:val="18"/>
                <w:szCs w:val="18"/>
                <w:u w:val="none"/>
                <w:lang w:val="en-US" w:eastAsia="zh-CN" w:bidi="ar"/>
              </w:rPr>
              <w:t>喷</w:t>
            </w:r>
            <w:r>
              <w:rPr>
                <w:rFonts w:hint="eastAsia" w:ascii="微软雅黑" w:hAnsi="微软雅黑" w:cs="微软雅黑"/>
                <w:i w:val="0"/>
                <w:iCs w:val="0"/>
                <w:color w:val="000000"/>
                <w:kern w:val="0"/>
                <w:sz w:val="18"/>
                <w:szCs w:val="18"/>
                <w:u w:val="none"/>
                <w:lang w:val="en-US" w:eastAsia="zh-CN" w:bidi="ar"/>
              </w:rPr>
              <w:t>白色</w:t>
            </w:r>
            <w:r>
              <w:rPr>
                <w:rFonts w:hint="default" w:ascii="微软雅黑" w:hAnsi="微软雅黑" w:cs="微软雅黑"/>
                <w:i w:val="0"/>
                <w:iCs w:val="0"/>
                <w:color w:val="000000"/>
                <w:kern w:val="0"/>
                <w:sz w:val="18"/>
                <w:szCs w:val="18"/>
                <w:u w:val="none"/>
                <w:lang w:val="en-US" w:eastAsia="zh-CN" w:bidi="ar"/>
              </w:rPr>
              <w:t>汽车漆</w:t>
            </w:r>
          </w:p>
          <w:p w14:paraId="04C9E5E2">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四、灯箱</w:t>
            </w:r>
            <w:r>
              <w:rPr>
                <w:rFonts w:hint="default" w:ascii="微软雅黑" w:hAnsi="微软雅黑" w:cs="微软雅黑"/>
                <w:i w:val="0"/>
                <w:iCs w:val="0"/>
                <w:color w:val="000000"/>
                <w:kern w:val="0"/>
                <w:sz w:val="18"/>
                <w:szCs w:val="18"/>
                <w:u w:val="none"/>
                <w:lang w:val="en-US" w:eastAsia="zh-CN" w:bidi="ar"/>
              </w:rPr>
              <w:t>安装需</w:t>
            </w:r>
            <w:r>
              <w:rPr>
                <w:rFonts w:hint="eastAsia" w:ascii="微软雅黑" w:hAnsi="微软雅黑" w:cs="微软雅黑"/>
                <w:i w:val="0"/>
                <w:iCs w:val="0"/>
                <w:color w:val="000000"/>
                <w:kern w:val="0"/>
                <w:sz w:val="18"/>
                <w:szCs w:val="18"/>
                <w:u w:val="none"/>
                <w:lang w:val="en-US" w:eastAsia="zh-CN" w:bidi="ar"/>
              </w:rPr>
              <w:t>确保</w:t>
            </w:r>
            <w:r>
              <w:rPr>
                <w:rFonts w:hint="default" w:ascii="微软雅黑" w:hAnsi="微软雅黑" w:cs="微软雅黑"/>
                <w:i w:val="0"/>
                <w:iCs w:val="0"/>
                <w:color w:val="000000"/>
                <w:kern w:val="0"/>
                <w:sz w:val="18"/>
                <w:szCs w:val="18"/>
                <w:u w:val="none"/>
                <w:lang w:val="en-US" w:eastAsia="zh-CN" w:bidi="ar"/>
              </w:rPr>
              <w:t>表面平整，无翘边、漏光</w:t>
            </w:r>
            <w:r>
              <w:rPr>
                <w:rFonts w:hint="eastAsia" w:ascii="微软雅黑" w:hAnsi="微软雅黑" w:cs="微软雅黑"/>
                <w:i w:val="0"/>
                <w:iCs w:val="0"/>
                <w:color w:val="000000"/>
                <w:kern w:val="0"/>
                <w:sz w:val="18"/>
                <w:szCs w:val="18"/>
                <w:u w:val="none"/>
                <w:lang w:val="en-US" w:eastAsia="zh-CN" w:bidi="ar"/>
              </w:rPr>
              <w:t>问题，发光亮度均匀适宜</w:t>
            </w:r>
            <w:r>
              <w:rPr>
                <w:rFonts w:hint="default" w:ascii="微软雅黑" w:hAnsi="微软雅黑" w:cs="微软雅黑"/>
                <w:i w:val="0"/>
                <w:iCs w:val="0"/>
                <w:color w:val="000000"/>
                <w:kern w:val="0"/>
                <w:sz w:val="18"/>
                <w:szCs w:val="18"/>
                <w:u w:val="none"/>
                <w:lang w:val="en-US" w:eastAsia="zh-CN" w:bidi="ar"/>
              </w:rPr>
              <w:t>。</w:t>
            </w:r>
          </w:p>
          <w:p w14:paraId="18251AE1">
            <w:pPr>
              <w:keepNext w:val="0"/>
              <w:keepLines w:val="0"/>
              <w:widowControl/>
              <w:numPr>
                <w:ilvl w:val="0"/>
                <w:numId w:val="0"/>
              </w:numPr>
              <w:suppressLineNumbers w:val="0"/>
              <w:jc w:val="left"/>
              <w:textAlignment w:val="top"/>
              <w:rPr>
                <w:rFonts w:hint="eastAsia" w:ascii="微软雅黑" w:hAnsi="微软雅黑" w:eastAsia="微软雅黑" w:cs="微软雅黑"/>
                <w:i w:val="0"/>
                <w:iCs w:val="0"/>
                <w:color w:val="000000"/>
                <w:sz w:val="18"/>
                <w:szCs w:val="18"/>
                <w:u w:val="none"/>
                <w:lang w:eastAsia="zh-CN"/>
              </w:rPr>
            </w:pPr>
            <w:r>
              <w:rPr>
                <w:rFonts w:hint="eastAsia" w:ascii="微软雅黑" w:hAnsi="微软雅黑" w:eastAsia="微软雅黑" w:cs="微软雅黑"/>
                <w:i w:val="0"/>
                <w:iCs w:val="0"/>
                <w:color w:val="000000"/>
                <w:sz w:val="18"/>
                <w:szCs w:val="18"/>
                <w:u w:val="none"/>
                <w:lang w:eastAsia="zh-CN"/>
              </w:rPr>
              <w:drawing>
                <wp:anchor distT="0" distB="0" distL="114300" distR="114300" simplePos="0" relativeHeight="251661312" behindDoc="0" locked="0" layoutInCell="1" allowOverlap="1">
                  <wp:simplePos x="0" y="0"/>
                  <wp:positionH relativeFrom="column">
                    <wp:posOffset>48260</wp:posOffset>
                  </wp:positionH>
                  <wp:positionV relativeFrom="paragraph">
                    <wp:posOffset>148590</wp:posOffset>
                  </wp:positionV>
                  <wp:extent cx="1717040" cy="1715135"/>
                  <wp:effectExtent l="0" t="0" r="16510" b="18415"/>
                  <wp:wrapTopAndBottom/>
                  <wp:docPr id="1" name="图片 1" descr="696f560cc5963366d747ff21a1638b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96f560cc5963366d747ff21a1638b63"/>
                          <pic:cNvPicPr>
                            <a:picLocks noChangeAspect="1"/>
                          </pic:cNvPicPr>
                        </pic:nvPicPr>
                        <pic:blipFill>
                          <a:blip r:embed="rId7"/>
                          <a:stretch>
                            <a:fillRect/>
                          </a:stretch>
                        </pic:blipFill>
                        <pic:spPr>
                          <a:xfrm>
                            <a:off x="0" y="0"/>
                            <a:ext cx="1717040" cy="1715135"/>
                          </a:xfrm>
                          <a:prstGeom prst="rect">
                            <a:avLst/>
                          </a:prstGeom>
                        </pic:spPr>
                      </pic:pic>
                    </a:graphicData>
                  </a:graphic>
                </wp:anchor>
              </w:drawing>
            </w:r>
          </w:p>
        </w:tc>
      </w:tr>
      <w:tr w14:paraId="2318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216" w:type="pct"/>
            <w:vMerge w:val="continue"/>
            <w:tcBorders>
              <w:left w:val="single" w:color="000000" w:sz="4" w:space="0"/>
              <w:right w:val="single" w:color="000000" w:sz="4" w:space="0"/>
            </w:tcBorders>
            <w:shd w:val="clear" w:color="auto" w:fill="auto"/>
            <w:noWrap/>
            <w:vAlign w:val="center"/>
          </w:tcPr>
          <w:p w14:paraId="754B63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712" w:type="pct"/>
            <w:vMerge w:val="continue"/>
            <w:tcBorders>
              <w:left w:val="single" w:color="000000" w:sz="4" w:space="0"/>
              <w:right w:val="single" w:color="000000" w:sz="4" w:space="0"/>
            </w:tcBorders>
            <w:shd w:val="clear" w:color="auto" w:fill="FFFFFF"/>
            <w:vAlign w:val="center"/>
          </w:tcPr>
          <w:p w14:paraId="51F7EFB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1B55C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12V变压器</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0A01E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七彩芯防雨电源400w-12v-CE认证</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3F72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68AED">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7</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C02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82F37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nil"/>
              <w:left w:val="single" w:color="000000" w:sz="4" w:space="0"/>
              <w:bottom w:val="single" w:color="000000" w:sz="4" w:space="0"/>
              <w:right w:val="single" w:color="000000" w:sz="4" w:space="0"/>
            </w:tcBorders>
            <w:shd w:val="clear" w:color="auto" w:fill="auto"/>
            <w:vAlign w:val="top"/>
          </w:tcPr>
          <w:p w14:paraId="09F311AB">
            <w:pPr>
              <w:jc w:val="left"/>
              <w:rPr>
                <w:rFonts w:hint="eastAsia" w:ascii="微软雅黑" w:hAnsi="微软雅黑" w:eastAsia="微软雅黑" w:cs="微软雅黑"/>
                <w:i w:val="0"/>
                <w:iCs w:val="0"/>
                <w:color w:val="000000"/>
                <w:sz w:val="16"/>
                <w:szCs w:val="16"/>
                <w:u w:val="none"/>
              </w:rPr>
            </w:pPr>
          </w:p>
        </w:tc>
      </w:tr>
      <w:tr w14:paraId="738E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16" w:type="pct"/>
            <w:vMerge w:val="continue"/>
            <w:tcBorders>
              <w:left w:val="single" w:color="000000" w:sz="4" w:space="0"/>
              <w:right w:val="single" w:color="000000" w:sz="4" w:space="0"/>
            </w:tcBorders>
            <w:shd w:val="clear" w:color="auto" w:fill="auto"/>
            <w:noWrap/>
            <w:vAlign w:val="center"/>
          </w:tcPr>
          <w:p w14:paraId="1FCB96E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712" w:type="pct"/>
            <w:vMerge w:val="continue"/>
            <w:tcBorders>
              <w:left w:val="single" w:color="000000" w:sz="4" w:space="0"/>
              <w:right w:val="single" w:color="000000" w:sz="4" w:space="0"/>
            </w:tcBorders>
            <w:shd w:val="clear" w:color="auto" w:fill="FFFFFF"/>
            <w:vAlign w:val="center"/>
          </w:tcPr>
          <w:p w14:paraId="27BC04A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95CEA">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lang w:val="en-US"/>
              </w:rPr>
            </w:pPr>
            <w:r>
              <w:rPr>
                <w:rFonts w:hint="eastAsia" w:ascii="微软雅黑" w:hAnsi="微软雅黑" w:eastAsia="微软雅黑" w:cs="微软雅黑"/>
                <w:i w:val="0"/>
                <w:iCs w:val="0"/>
                <w:color w:val="000000"/>
                <w:kern w:val="0"/>
                <w:sz w:val="18"/>
                <w:szCs w:val="18"/>
                <w:u w:val="none"/>
                <w:lang w:val="en-US" w:eastAsia="zh-CN" w:bidi="ar"/>
              </w:rPr>
              <w:t>热</w:t>
            </w:r>
            <w:r>
              <w:rPr>
                <w:rFonts w:hint="eastAsia" w:ascii="微软雅黑" w:hAnsi="微软雅黑" w:cs="微软雅黑"/>
                <w:i w:val="0"/>
                <w:iCs w:val="0"/>
                <w:color w:val="000000"/>
                <w:kern w:val="0"/>
                <w:sz w:val="18"/>
                <w:szCs w:val="18"/>
                <w:u w:val="none"/>
                <w:lang w:val="en-US" w:eastAsia="zh-CN" w:bidi="ar"/>
              </w:rPr>
              <w:t>镀锌</w:t>
            </w:r>
            <w:r>
              <w:rPr>
                <w:rFonts w:hint="eastAsia" w:ascii="微软雅黑" w:hAnsi="微软雅黑" w:eastAsia="微软雅黑" w:cs="微软雅黑"/>
                <w:i w:val="0"/>
                <w:iCs w:val="0"/>
                <w:color w:val="000000"/>
                <w:kern w:val="0"/>
                <w:sz w:val="18"/>
                <w:szCs w:val="18"/>
                <w:u w:val="none"/>
                <w:lang w:val="en-US" w:eastAsia="zh-CN" w:bidi="ar"/>
              </w:rPr>
              <w:t>方管</w:t>
            </w: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壁厚2.0</w:t>
            </w:r>
            <w:r>
              <w:rPr>
                <w:rFonts w:hint="eastAsia" w:ascii="微软雅黑" w:hAnsi="微软雅黑" w:cs="微软雅黑"/>
                <w:i w:val="0"/>
                <w:iCs w:val="0"/>
                <w:color w:val="000000"/>
                <w:kern w:val="0"/>
                <w:sz w:val="18"/>
                <w:szCs w:val="18"/>
                <w:u w:val="none"/>
                <w:lang w:val="en-US" w:eastAsia="zh-CN" w:bidi="ar"/>
              </w:rPr>
              <w:t>mm，误差不超过±0.15mm）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9F57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方管尺寸</w:t>
            </w:r>
            <w:r>
              <w:rPr>
                <w:rFonts w:hint="eastAsia" w:ascii="微软雅黑" w:hAnsi="微软雅黑" w:eastAsia="微软雅黑" w:cs="微软雅黑"/>
                <w:i w:val="0"/>
                <w:iCs w:val="0"/>
                <w:color w:val="000000"/>
                <w:kern w:val="0"/>
                <w:sz w:val="18"/>
                <w:szCs w:val="18"/>
                <w:u w:val="none"/>
                <w:lang w:val="en-US" w:eastAsia="zh-CN" w:bidi="ar"/>
              </w:rPr>
              <w:t>4x4</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46F8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kern w:val="0"/>
                <w:sz w:val="18"/>
                <w:szCs w:val="18"/>
                <w:u w:val="none"/>
                <w:lang w:val="en-US" w:eastAsia="zh-CN" w:bidi="ar"/>
              </w:rPr>
              <w:t>米</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816B9">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lang w:val="en-US"/>
              </w:rPr>
            </w:pPr>
            <w:r>
              <w:rPr>
                <w:rFonts w:hint="eastAsia" w:ascii="微软雅黑" w:hAnsi="微软雅黑" w:cs="微软雅黑"/>
                <w:i w:val="0"/>
                <w:iCs w:val="0"/>
                <w:color w:val="000000"/>
                <w:kern w:val="0"/>
                <w:sz w:val="18"/>
                <w:szCs w:val="18"/>
                <w:highlight w:val="none"/>
                <w:u w:val="none"/>
                <w:lang w:val="en-US" w:eastAsia="zh-CN" w:bidi="ar"/>
              </w:rPr>
              <w:t>52（误差±1）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BD889">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2285E">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1500" w:type="pct"/>
            <w:vMerge w:val="continue"/>
            <w:tcBorders>
              <w:top w:val="nil"/>
              <w:left w:val="single" w:color="000000" w:sz="4" w:space="0"/>
              <w:bottom w:val="single" w:color="000000" w:sz="4" w:space="0"/>
              <w:right w:val="single" w:color="000000" w:sz="4" w:space="0"/>
            </w:tcBorders>
            <w:shd w:val="clear" w:color="auto" w:fill="auto"/>
            <w:vAlign w:val="top"/>
          </w:tcPr>
          <w:p w14:paraId="1541C89B">
            <w:pPr>
              <w:jc w:val="left"/>
              <w:rPr>
                <w:rFonts w:hint="eastAsia" w:ascii="微软雅黑" w:hAnsi="微软雅黑" w:eastAsia="微软雅黑" w:cs="微软雅黑"/>
                <w:i w:val="0"/>
                <w:iCs w:val="0"/>
                <w:color w:val="000000"/>
                <w:sz w:val="16"/>
                <w:szCs w:val="16"/>
                <w:u w:val="none"/>
              </w:rPr>
            </w:pPr>
          </w:p>
        </w:tc>
      </w:tr>
      <w:tr w14:paraId="7078E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16" w:type="pct"/>
            <w:vMerge w:val="continue"/>
            <w:tcBorders>
              <w:left w:val="single" w:color="000000" w:sz="4" w:space="0"/>
              <w:right w:val="single" w:color="000000" w:sz="4" w:space="0"/>
            </w:tcBorders>
            <w:shd w:val="clear" w:color="auto" w:fill="auto"/>
            <w:noWrap/>
            <w:vAlign w:val="center"/>
          </w:tcPr>
          <w:p w14:paraId="43E630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712" w:type="pct"/>
            <w:vMerge w:val="continue"/>
            <w:tcBorders>
              <w:left w:val="single" w:color="000000" w:sz="4" w:space="0"/>
              <w:right w:val="single" w:color="000000" w:sz="4" w:space="0"/>
            </w:tcBorders>
            <w:shd w:val="clear" w:color="auto" w:fill="FFFFFF"/>
            <w:vAlign w:val="center"/>
          </w:tcPr>
          <w:p w14:paraId="77663EF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385F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电线、玻璃胶及</w:t>
            </w:r>
            <w:r>
              <w:rPr>
                <w:rFonts w:hint="eastAsia" w:ascii="微软雅黑" w:hAnsi="微软雅黑" w:cs="微软雅黑"/>
                <w:i w:val="0"/>
                <w:iCs w:val="0"/>
                <w:color w:val="000000"/>
                <w:kern w:val="0"/>
                <w:sz w:val="18"/>
                <w:szCs w:val="18"/>
                <w:u w:val="none"/>
                <w:lang w:val="en-US" w:eastAsia="zh-CN" w:bidi="ar"/>
              </w:rPr>
              <w:t>所需的全部</w:t>
            </w:r>
            <w:r>
              <w:rPr>
                <w:rFonts w:hint="eastAsia" w:ascii="微软雅黑" w:hAnsi="微软雅黑" w:eastAsia="微软雅黑" w:cs="微软雅黑"/>
                <w:i w:val="0"/>
                <w:iCs w:val="0"/>
                <w:color w:val="000000"/>
                <w:kern w:val="0"/>
                <w:sz w:val="18"/>
                <w:szCs w:val="18"/>
                <w:u w:val="none"/>
                <w:lang w:val="en-US" w:eastAsia="zh-CN" w:bidi="ar"/>
              </w:rPr>
              <w:t>辅材</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4136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太阳牌电线WDZB-BYJ4.0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7A12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5435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2FF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EFDA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nil"/>
              <w:left w:val="single" w:color="000000" w:sz="4" w:space="0"/>
              <w:bottom w:val="single" w:color="000000" w:sz="4" w:space="0"/>
              <w:right w:val="single" w:color="000000" w:sz="4" w:space="0"/>
            </w:tcBorders>
            <w:shd w:val="clear" w:color="auto" w:fill="auto"/>
            <w:vAlign w:val="top"/>
          </w:tcPr>
          <w:p w14:paraId="16F8C73B">
            <w:pPr>
              <w:jc w:val="left"/>
              <w:rPr>
                <w:rFonts w:hint="eastAsia" w:ascii="微软雅黑" w:hAnsi="微软雅黑" w:eastAsia="微软雅黑" w:cs="微软雅黑"/>
                <w:i w:val="0"/>
                <w:iCs w:val="0"/>
                <w:color w:val="000000"/>
                <w:sz w:val="16"/>
                <w:szCs w:val="16"/>
                <w:u w:val="none"/>
              </w:rPr>
            </w:pPr>
          </w:p>
        </w:tc>
      </w:tr>
      <w:tr w14:paraId="467A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0" w:hRule="atLeast"/>
        </w:trPr>
        <w:tc>
          <w:tcPr>
            <w:tcW w:w="216" w:type="pct"/>
            <w:vMerge w:val="continue"/>
            <w:tcBorders>
              <w:left w:val="single" w:color="000000" w:sz="4" w:space="0"/>
              <w:bottom w:val="single" w:color="000000" w:sz="4" w:space="0"/>
              <w:right w:val="single" w:color="000000" w:sz="4" w:space="0"/>
            </w:tcBorders>
            <w:shd w:val="clear" w:color="auto" w:fill="auto"/>
            <w:noWrap/>
            <w:vAlign w:val="center"/>
          </w:tcPr>
          <w:p w14:paraId="371327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712" w:type="pct"/>
            <w:vMerge w:val="continue"/>
            <w:tcBorders>
              <w:left w:val="single" w:color="000000" w:sz="4" w:space="0"/>
              <w:bottom w:val="single" w:color="000000" w:sz="4" w:space="0"/>
              <w:right w:val="single" w:color="000000" w:sz="4" w:space="0"/>
            </w:tcBorders>
            <w:shd w:val="clear" w:color="auto" w:fill="FFFFFF"/>
            <w:vAlign w:val="center"/>
          </w:tcPr>
          <w:p w14:paraId="61DFDB7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16AF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拆字+</w:t>
            </w:r>
            <w:r>
              <w:rPr>
                <w:rFonts w:hint="eastAsia" w:ascii="微软雅黑" w:hAnsi="微软雅黑" w:cs="微软雅黑"/>
                <w:i w:val="0"/>
                <w:iCs w:val="0"/>
                <w:color w:val="000000"/>
                <w:kern w:val="0"/>
                <w:sz w:val="18"/>
                <w:szCs w:val="18"/>
                <w:u w:val="none"/>
                <w:lang w:val="en-US" w:eastAsia="zh-CN" w:bidi="ar"/>
              </w:rPr>
              <w:t>安装</w:t>
            </w:r>
            <w:r>
              <w:rPr>
                <w:rFonts w:hint="eastAsia" w:ascii="微软雅黑" w:hAnsi="微软雅黑" w:eastAsia="微软雅黑" w:cs="微软雅黑"/>
                <w:i w:val="0"/>
                <w:iCs w:val="0"/>
                <w:color w:val="000000"/>
                <w:kern w:val="0"/>
                <w:sz w:val="18"/>
                <w:szCs w:val="18"/>
                <w:u w:val="none"/>
                <w:lang w:val="en-US" w:eastAsia="zh-CN" w:bidi="ar"/>
              </w:rPr>
              <w:t>+吊装</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30088">
            <w:pPr>
              <w:jc w:val="center"/>
              <w:rPr>
                <w:rFonts w:hint="eastAsia" w:ascii="微软雅黑" w:hAnsi="微软雅黑" w:eastAsia="微软雅黑" w:cs="微软雅黑"/>
                <w:i w:val="0"/>
                <w:iCs w:val="0"/>
                <w:color w:val="000000"/>
                <w:sz w:val="18"/>
                <w:szCs w:val="18"/>
                <w:u w:val="none"/>
              </w:rPr>
            </w:pPr>
            <w:r>
              <w:rPr>
                <w:rFonts w:hint="eastAsia" w:ascii="微软雅黑" w:hAnsi="微软雅黑" w:cs="微软雅黑"/>
                <w:i w:val="0"/>
                <w:iCs w:val="0"/>
                <w:color w:val="000000"/>
                <w:sz w:val="18"/>
                <w:szCs w:val="18"/>
                <w:u w:val="none"/>
                <w:lang w:val="en-US" w:eastAsia="zh-CN"/>
              </w:rPr>
              <w:t>院徽固定、线路连接、安装调试、含吊装费</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435D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B48A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4C6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CA9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nil"/>
              <w:left w:val="single" w:color="000000" w:sz="4" w:space="0"/>
              <w:bottom w:val="single" w:color="000000" w:sz="4" w:space="0"/>
              <w:right w:val="single" w:color="000000" w:sz="4" w:space="0"/>
            </w:tcBorders>
            <w:shd w:val="clear" w:color="auto" w:fill="auto"/>
            <w:vAlign w:val="top"/>
          </w:tcPr>
          <w:p w14:paraId="283A5D13">
            <w:pPr>
              <w:jc w:val="left"/>
              <w:rPr>
                <w:rFonts w:hint="eastAsia" w:ascii="微软雅黑" w:hAnsi="微软雅黑" w:eastAsia="微软雅黑" w:cs="微软雅黑"/>
                <w:i w:val="0"/>
                <w:iCs w:val="0"/>
                <w:color w:val="000000"/>
                <w:sz w:val="16"/>
                <w:szCs w:val="16"/>
                <w:u w:val="none"/>
              </w:rPr>
            </w:pPr>
          </w:p>
        </w:tc>
      </w:tr>
      <w:tr w14:paraId="4DE1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7"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9D9D">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lang w:val="en-US"/>
              </w:rPr>
            </w:pPr>
            <w:r>
              <w:rPr>
                <w:rFonts w:hint="eastAsia" w:ascii="微软雅黑" w:hAnsi="微软雅黑" w:eastAsia="微软雅黑" w:cs="微软雅黑"/>
                <w:i w:val="0"/>
                <w:iCs w:val="0"/>
                <w:color w:val="000000"/>
                <w:kern w:val="0"/>
                <w:sz w:val="16"/>
                <w:szCs w:val="16"/>
                <w:u w:val="none"/>
                <w:lang w:val="en-US" w:eastAsia="zh-CN" w:bidi="ar"/>
              </w:rPr>
              <w:t>3</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5553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外科楼南侧“福建省肿瘤医院”发光字样重新刷漆</w:t>
            </w: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0BBE9">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发光字刷油漆</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133B0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字平均尺寸360x340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74E61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字</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2AD6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D84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917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tcBorders>
              <w:top w:val="nil"/>
              <w:left w:val="single" w:color="000000" w:sz="4" w:space="0"/>
              <w:bottom w:val="single" w:color="auto" w:sz="4" w:space="0"/>
              <w:right w:val="single" w:color="000000" w:sz="4" w:space="0"/>
            </w:tcBorders>
            <w:shd w:val="clear" w:color="auto" w:fill="auto"/>
            <w:vAlign w:val="top"/>
          </w:tcPr>
          <w:p w14:paraId="34D512C9">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181610</wp:posOffset>
                  </wp:positionH>
                  <wp:positionV relativeFrom="paragraph">
                    <wp:posOffset>439420</wp:posOffset>
                  </wp:positionV>
                  <wp:extent cx="1560830" cy="575945"/>
                  <wp:effectExtent l="0" t="0" r="1270" b="14605"/>
                  <wp:wrapNone/>
                  <wp:docPr id="11" name="图片_6"/>
                  <wp:cNvGraphicFramePr/>
                  <a:graphic xmlns:a="http://schemas.openxmlformats.org/drawingml/2006/main">
                    <a:graphicData uri="http://schemas.openxmlformats.org/drawingml/2006/picture">
                      <pic:pic xmlns:pic="http://schemas.openxmlformats.org/drawingml/2006/picture">
                        <pic:nvPicPr>
                          <pic:cNvPr id="11" name="图片_6"/>
                          <pic:cNvPicPr/>
                        </pic:nvPicPr>
                        <pic:blipFill>
                          <a:blip r:embed="rId8"/>
                          <a:stretch>
                            <a:fillRect/>
                          </a:stretch>
                        </pic:blipFill>
                        <pic:spPr>
                          <a:xfrm>
                            <a:off x="0" y="0"/>
                            <a:ext cx="1560830" cy="575945"/>
                          </a:xfrm>
                          <a:prstGeom prst="rect">
                            <a:avLst/>
                          </a:prstGeom>
                          <a:noFill/>
                          <a:ln>
                            <a:noFill/>
                          </a:ln>
                        </pic:spPr>
                      </pic:pic>
                    </a:graphicData>
                  </a:graphic>
                </wp:anchor>
              </w:drawing>
            </w:r>
            <w:r>
              <w:rPr>
                <w:rFonts w:hint="eastAsia" w:ascii="微软雅黑" w:hAnsi="微软雅黑" w:cs="微软雅黑"/>
                <w:i w:val="0"/>
                <w:iCs w:val="0"/>
                <w:color w:val="000000"/>
                <w:kern w:val="0"/>
                <w:sz w:val="18"/>
                <w:szCs w:val="18"/>
                <w:u w:val="none"/>
                <w:lang w:val="en-US" w:eastAsia="zh-CN" w:bidi="ar"/>
              </w:rPr>
              <w:t>一、</w:t>
            </w:r>
            <w:r>
              <w:rPr>
                <w:rFonts w:hint="default" w:ascii="微软雅黑" w:hAnsi="微软雅黑" w:cs="微软雅黑"/>
                <w:i w:val="0"/>
                <w:iCs w:val="0"/>
                <w:color w:val="000000"/>
                <w:kern w:val="0"/>
                <w:sz w:val="18"/>
                <w:szCs w:val="18"/>
                <w:u w:val="none"/>
                <w:lang w:val="en-US" w:eastAsia="zh-CN" w:bidi="ar"/>
              </w:rPr>
              <w:t>防锈处理，氟碳漆工艺</w:t>
            </w:r>
            <w:r>
              <w:rPr>
                <w:rFonts w:hint="eastAsia" w:ascii="微软雅黑" w:hAnsi="微软雅黑" w:cs="微软雅黑"/>
                <w:i w:val="0"/>
                <w:iCs w:val="0"/>
                <w:color w:val="000000"/>
                <w:kern w:val="0"/>
                <w:sz w:val="18"/>
                <w:szCs w:val="18"/>
                <w:u w:val="none"/>
                <w:lang w:val="en-US" w:eastAsia="zh-CN" w:bidi="ar"/>
              </w:rPr>
              <w:t>，</w:t>
            </w:r>
            <w:r>
              <w:rPr>
                <w:rFonts w:hint="default" w:ascii="微软雅黑" w:hAnsi="微软雅黑" w:cs="微软雅黑"/>
                <w:i w:val="0"/>
                <w:iCs w:val="0"/>
                <w:color w:val="000000"/>
                <w:kern w:val="0"/>
                <w:sz w:val="18"/>
                <w:szCs w:val="18"/>
                <w:u w:val="none"/>
                <w:lang w:val="en-US" w:eastAsia="zh-CN" w:bidi="ar"/>
              </w:rPr>
              <w:t>喷红色汽车漆</w:t>
            </w:r>
          </w:p>
          <w:p w14:paraId="50A40173">
            <w:pPr>
              <w:keepNext w:val="0"/>
              <w:keepLines w:val="0"/>
              <w:widowControl/>
              <w:suppressLineNumbers w:val="0"/>
              <w:jc w:val="left"/>
              <w:textAlignment w:val="top"/>
              <w:rPr>
                <w:rFonts w:hint="eastAsia" w:ascii="微软雅黑" w:hAnsi="微软雅黑" w:eastAsia="微软雅黑" w:cs="微软雅黑"/>
                <w:i w:val="0"/>
                <w:iCs w:val="0"/>
                <w:color w:val="000000"/>
                <w:kern w:val="0"/>
                <w:sz w:val="18"/>
                <w:szCs w:val="18"/>
                <w:highlight w:val="green"/>
                <w:u w:val="none"/>
                <w:lang w:val="en-US" w:eastAsia="zh-CN" w:bidi="ar"/>
              </w:rPr>
            </w:pPr>
          </w:p>
          <w:p w14:paraId="5678FE4D">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p>
        </w:tc>
      </w:tr>
      <w:tr w14:paraId="43C8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F11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166F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外科楼北侧屋顶外墙加装发光字标识“福建省肿瘤医院”</w:t>
            </w: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AB60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铝板冲孔发光字</w:t>
            </w: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壁厚2.0</w:t>
            </w:r>
            <w:r>
              <w:rPr>
                <w:rFonts w:hint="eastAsia" w:ascii="微软雅黑" w:hAnsi="微软雅黑" w:cs="微软雅黑"/>
                <w:i w:val="0"/>
                <w:iCs w:val="0"/>
                <w:color w:val="000000"/>
                <w:kern w:val="0"/>
                <w:sz w:val="18"/>
                <w:szCs w:val="18"/>
                <w:u w:val="none"/>
                <w:lang w:val="en-US" w:eastAsia="zh-CN" w:bidi="ar"/>
              </w:rPr>
              <w:t>mm，误差不超过±0.15mm）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9ABE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字平均尺寸400x470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CC7D1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字</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4EFA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7</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59B3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80B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restart"/>
            <w:tcBorders>
              <w:top w:val="single" w:color="auto" w:sz="4" w:space="0"/>
              <w:left w:val="single" w:color="auto" w:sz="4" w:space="0"/>
              <w:bottom w:val="single" w:color="auto" w:sz="4" w:space="0"/>
              <w:right w:val="single" w:color="auto" w:sz="4" w:space="0"/>
            </w:tcBorders>
            <w:shd w:val="clear" w:color="auto" w:fill="auto"/>
            <w:vAlign w:val="top"/>
          </w:tcPr>
          <w:p w14:paraId="23ADC648">
            <w:pPr>
              <w:keepNext w:val="0"/>
              <w:keepLines w:val="0"/>
              <w:widowControl/>
              <w:suppressLineNumbers w:val="0"/>
              <w:jc w:val="left"/>
              <w:textAlignment w:val="top"/>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一、</w:t>
            </w:r>
            <w:r>
              <w:rPr>
                <w:rFonts w:hint="eastAsia" w:ascii="微软雅黑" w:hAnsi="微软雅黑" w:eastAsia="微软雅黑" w:cs="微软雅黑"/>
                <w:i w:val="0"/>
                <w:iCs w:val="0"/>
                <w:color w:val="000000"/>
                <w:kern w:val="0"/>
                <w:sz w:val="18"/>
                <w:szCs w:val="18"/>
                <w:highlight w:val="none"/>
                <w:u w:val="none"/>
                <w:lang w:val="en-US" w:eastAsia="zh-CN" w:bidi="ar"/>
              </w:rPr>
              <w:t>字合计</w:t>
            </w:r>
            <w:r>
              <w:rPr>
                <w:rFonts w:hint="eastAsia" w:ascii="微软雅黑" w:hAnsi="微软雅黑" w:cs="微软雅黑"/>
                <w:i w:val="0"/>
                <w:iCs w:val="0"/>
                <w:color w:val="000000"/>
                <w:kern w:val="0"/>
                <w:sz w:val="18"/>
                <w:szCs w:val="18"/>
                <w:highlight w:val="none"/>
                <w:u w:val="none"/>
                <w:lang w:val="en-US" w:eastAsia="zh-CN" w:bidi="ar"/>
              </w:rPr>
              <w:t>≥</w:t>
            </w:r>
            <w:r>
              <w:rPr>
                <w:rFonts w:hint="eastAsia" w:ascii="微软雅黑" w:hAnsi="微软雅黑" w:eastAsia="微软雅黑" w:cs="微软雅黑"/>
                <w:i w:val="0"/>
                <w:iCs w:val="0"/>
                <w:color w:val="000000"/>
                <w:kern w:val="0"/>
                <w:sz w:val="18"/>
                <w:szCs w:val="18"/>
                <w:highlight w:val="none"/>
                <w:u w:val="none"/>
                <w:lang w:val="en-US" w:eastAsia="zh-CN" w:bidi="ar"/>
              </w:rPr>
              <w:t>123平方</w:t>
            </w:r>
          </w:p>
          <w:p w14:paraId="1CD6C79D">
            <w:pPr>
              <w:keepNext w:val="0"/>
              <w:keepLines w:val="0"/>
              <w:widowControl/>
              <w:suppressLineNumbers w:val="0"/>
              <w:jc w:val="left"/>
              <w:textAlignment w:val="top"/>
              <w:rPr>
                <w:rFonts w:hint="eastAsia" w:ascii="微软雅黑" w:hAnsi="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二、</w:t>
            </w:r>
            <w:r>
              <w:rPr>
                <w:rFonts w:hint="eastAsia" w:ascii="微软雅黑" w:hAnsi="微软雅黑" w:cs="微软雅黑"/>
                <w:i w:val="0"/>
                <w:iCs w:val="0"/>
                <w:color w:val="000000"/>
                <w:kern w:val="0"/>
                <w:sz w:val="18"/>
                <w:szCs w:val="18"/>
                <w:u w:val="none"/>
                <w:lang w:val="en-US" w:eastAsia="zh-CN" w:bidi="ar"/>
              </w:rPr>
              <w:t>国内一线品牌防水</w:t>
            </w:r>
            <w:r>
              <w:rPr>
                <w:rFonts w:hint="default" w:ascii="微软雅黑" w:hAnsi="微软雅黑" w:cs="微软雅黑"/>
                <w:i w:val="0"/>
                <w:iCs w:val="0"/>
                <w:color w:val="000000"/>
                <w:kern w:val="0"/>
                <w:sz w:val="18"/>
                <w:szCs w:val="18"/>
                <w:u w:val="none"/>
                <w:lang w:val="en-US" w:eastAsia="zh-CN" w:bidi="ar"/>
              </w:rPr>
              <w:t>LED灯灌胶9mm穿孔灯</w:t>
            </w:r>
            <w:r>
              <w:rPr>
                <w:rFonts w:hint="eastAsia" w:ascii="微软雅黑" w:hAnsi="微软雅黑" w:cs="微软雅黑"/>
                <w:i w:val="0"/>
                <w:iCs w:val="0"/>
                <w:color w:val="000000"/>
                <w:kern w:val="0"/>
                <w:sz w:val="18"/>
                <w:szCs w:val="18"/>
                <w:u w:val="none"/>
                <w:lang w:val="en-US" w:eastAsia="zh-CN" w:bidi="ar"/>
              </w:rPr>
              <w:t>（参数要求不限于：发光角度≥160°，显色指数Ra≥80，防水等级IP68，亮度均匀，一体式注塑外壳，灌胶工艺，具有良好的防水性能）</w:t>
            </w:r>
          </w:p>
          <w:p w14:paraId="1E90E400">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default" w:ascii="微软雅黑" w:hAnsi="微软雅黑" w:cs="微软雅黑"/>
                <w:i w:val="0"/>
                <w:iCs w:val="0"/>
                <w:color w:val="000000"/>
                <w:kern w:val="0"/>
                <w:sz w:val="18"/>
                <w:szCs w:val="18"/>
                <w:u w:val="none"/>
                <w:lang w:val="en-US" w:eastAsia="zh-CN" w:bidi="ar"/>
              </w:rPr>
              <w:t>三、</w:t>
            </w:r>
            <w:r>
              <w:rPr>
                <w:rFonts w:hint="eastAsia" w:ascii="微软雅黑" w:hAnsi="微软雅黑" w:cs="微软雅黑"/>
                <w:i w:val="0"/>
                <w:iCs w:val="0"/>
                <w:color w:val="000000"/>
                <w:kern w:val="0"/>
                <w:sz w:val="18"/>
                <w:szCs w:val="18"/>
                <w:u w:val="none"/>
                <w:lang w:val="en-US" w:eastAsia="zh-CN" w:bidi="ar"/>
              </w:rPr>
              <w:t>发光字标识，支撑钢架、底板等整体材料需要</w:t>
            </w:r>
            <w:r>
              <w:rPr>
                <w:rFonts w:hint="default" w:ascii="微软雅黑" w:hAnsi="微软雅黑" w:cs="微软雅黑"/>
                <w:i w:val="0"/>
                <w:iCs w:val="0"/>
                <w:color w:val="000000"/>
                <w:kern w:val="0"/>
                <w:sz w:val="18"/>
                <w:szCs w:val="18"/>
                <w:u w:val="none"/>
                <w:lang w:val="en-US" w:eastAsia="zh-CN" w:bidi="ar"/>
              </w:rPr>
              <w:t>防锈处理，</w:t>
            </w:r>
            <w:r>
              <w:rPr>
                <w:rFonts w:hint="eastAsia" w:ascii="微软雅黑" w:hAnsi="微软雅黑" w:cs="微软雅黑"/>
                <w:i w:val="0"/>
                <w:iCs w:val="0"/>
                <w:color w:val="000000"/>
                <w:kern w:val="0"/>
                <w:sz w:val="18"/>
                <w:szCs w:val="18"/>
                <w:u w:val="none"/>
                <w:lang w:val="en-US" w:eastAsia="zh-CN" w:bidi="ar"/>
              </w:rPr>
              <w:t>发光字标识采用</w:t>
            </w:r>
            <w:r>
              <w:rPr>
                <w:rFonts w:hint="default" w:ascii="微软雅黑" w:hAnsi="微软雅黑" w:cs="微软雅黑"/>
                <w:i w:val="0"/>
                <w:iCs w:val="0"/>
                <w:color w:val="000000"/>
                <w:kern w:val="0"/>
                <w:sz w:val="18"/>
                <w:szCs w:val="18"/>
                <w:u w:val="none"/>
                <w:lang w:val="en-US" w:eastAsia="zh-CN" w:bidi="ar"/>
              </w:rPr>
              <w:t>氟碳漆工艺</w:t>
            </w:r>
            <w:r>
              <w:rPr>
                <w:rFonts w:hint="eastAsia" w:ascii="微软雅黑" w:hAnsi="微软雅黑" w:cs="微软雅黑"/>
                <w:i w:val="0"/>
                <w:iCs w:val="0"/>
                <w:color w:val="000000"/>
                <w:kern w:val="0"/>
                <w:sz w:val="18"/>
                <w:szCs w:val="18"/>
                <w:u w:val="none"/>
                <w:lang w:val="en-US" w:eastAsia="zh-CN" w:bidi="ar"/>
              </w:rPr>
              <w:t>，</w:t>
            </w:r>
            <w:r>
              <w:rPr>
                <w:rFonts w:hint="default" w:ascii="微软雅黑" w:hAnsi="微软雅黑" w:cs="微软雅黑"/>
                <w:i w:val="0"/>
                <w:iCs w:val="0"/>
                <w:color w:val="000000"/>
                <w:kern w:val="0"/>
                <w:sz w:val="18"/>
                <w:szCs w:val="18"/>
                <w:u w:val="none"/>
                <w:lang w:val="en-US" w:eastAsia="zh-CN" w:bidi="ar"/>
              </w:rPr>
              <w:t>喷红色汽车漆</w:t>
            </w:r>
          </w:p>
          <w:p w14:paraId="4215FE19">
            <w:pPr>
              <w:keepNext w:val="0"/>
              <w:keepLines w:val="0"/>
              <w:widowControl/>
              <w:numPr>
                <w:ilvl w:val="0"/>
                <w:numId w:val="0"/>
              </w:numPr>
              <w:suppressLineNumbers w:val="0"/>
              <w:jc w:val="left"/>
              <w:textAlignment w:val="top"/>
              <w:rPr>
                <w:rFonts w:hint="default" w:ascii="微软雅黑" w:hAnsi="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四、</w:t>
            </w:r>
            <w:r>
              <w:rPr>
                <w:rFonts w:hint="default" w:ascii="微软雅黑" w:hAnsi="微软雅黑" w:cs="微软雅黑"/>
                <w:i w:val="0"/>
                <w:iCs w:val="0"/>
                <w:color w:val="000000"/>
                <w:kern w:val="0"/>
                <w:sz w:val="18"/>
                <w:szCs w:val="18"/>
                <w:u w:val="none"/>
                <w:lang w:val="en-US" w:eastAsia="zh-CN" w:bidi="ar"/>
              </w:rPr>
              <w:t>发光字安装需</w:t>
            </w:r>
            <w:r>
              <w:rPr>
                <w:rFonts w:hint="eastAsia" w:ascii="微软雅黑" w:hAnsi="微软雅黑" w:cs="微软雅黑"/>
                <w:i w:val="0"/>
                <w:iCs w:val="0"/>
                <w:color w:val="000000"/>
                <w:kern w:val="0"/>
                <w:sz w:val="18"/>
                <w:szCs w:val="18"/>
                <w:u w:val="none"/>
                <w:lang w:val="en-US" w:eastAsia="zh-CN" w:bidi="ar"/>
              </w:rPr>
              <w:t>确保</w:t>
            </w:r>
            <w:r>
              <w:rPr>
                <w:rFonts w:hint="default" w:ascii="微软雅黑" w:hAnsi="微软雅黑" w:cs="微软雅黑"/>
                <w:i w:val="0"/>
                <w:iCs w:val="0"/>
                <w:color w:val="000000"/>
                <w:kern w:val="0"/>
                <w:sz w:val="18"/>
                <w:szCs w:val="18"/>
                <w:u w:val="none"/>
                <w:lang w:val="en-US" w:eastAsia="zh-CN" w:bidi="ar"/>
              </w:rPr>
              <w:t>表面平整，无翘边、漏光</w:t>
            </w:r>
            <w:r>
              <w:rPr>
                <w:rFonts w:hint="eastAsia" w:ascii="微软雅黑" w:hAnsi="微软雅黑" w:cs="微软雅黑"/>
                <w:i w:val="0"/>
                <w:iCs w:val="0"/>
                <w:color w:val="000000"/>
                <w:kern w:val="0"/>
                <w:sz w:val="18"/>
                <w:szCs w:val="18"/>
                <w:u w:val="none"/>
                <w:lang w:val="en-US" w:eastAsia="zh-CN" w:bidi="ar"/>
              </w:rPr>
              <w:t>问题，发光亮度均匀适宜</w:t>
            </w:r>
            <w:r>
              <w:rPr>
                <w:rFonts w:hint="default" w:ascii="微软雅黑" w:hAnsi="微软雅黑" w:cs="微软雅黑"/>
                <w:i w:val="0"/>
                <w:iCs w:val="0"/>
                <w:color w:val="000000"/>
                <w:kern w:val="0"/>
                <w:sz w:val="18"/>
                <w:szCs w:val="18"/>
                <w:u w:val="none"/>
                <w:lang w:val="en-US" w:eastAsia="zh-CN" w:bidi="ar"/>
              </w:rPr>
              <w:t>。</w:t>
            </w:r>
          </w:p>
          <w:p w14:paraId="4886E3EB">
            <w:pPr>
              <w:keepNext w:val="0"/>
              <w:keepLines w:val="0"/>
              <w:widowControl/>
              <w:numPr>
                <w:ilvl w:val="0"/>
                <w:numId w:val="0"/>
              </w:numPr>
              <w:suppressLineNumbers w:val="0"/>
              <w:jc w:val="left"/>
              <w:textAlignment w:val="top"/>
              <w:rPr>
                <w:rFonts w:hint="eastAsia" w:ascii="微软雅黑" w:hAnsi="微软雅黑" w:eastAsia="微软雅黑" w:cs="微软雅黑"/>
                <w:i w:val="0"/>
                <w:iCs w:val="0"/>
                <w:color w:val="000000"/>
                <w:kern w:val="0"/>
                <w:sz w:val="16"/>
                <w:szCs w:val="16"/>
                <w:u w:val="none"/>
                <w:bdr w:val="single" w:color="000000" w:sz="4" w:space="0"/>
                <w:lang w:val="en-US" w:eastAsia="zh-CN" w:bidi="ar"/>
              </w:rPr>
            </w:pPr>
            <w:r>
              <w:rPr>
                <w:rFonts w:hint="default" w:ascii="仿宋_GB2312" w:hAnsi="等线" w:eastAsia="仿宋_GB2312" w:cs="黑体"/>
                <w:kern w:val="2"/>
                <w:sz w:val="32"/>
                <w:szCs w:val="32"/>
                <w:lang w:val="en-US" w:eastAsia="zh-CN" w:bidi="ar-SA"/>
              </w:rPr>
              <w:drawing>
                <wp:inline distT="0" distB="0" distL="114300" distR="114300">
                  <wp:extent cx="1515110" cy="2111375"/>
                  <wp:effectExtent l="0" t="0" r="8890" b="3175"/>
                  <wp:docPr id="5" name="图片 5" descr="324b60256d1fe3e757646a0da317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24b60256d1fe3e757646a0da3179654"/>
                          <pic:cNvPicPr>
                            <a:picLocks noChangeAspect="1"/>
                          </pic:cNvPicPr>
                        </pic:nvPicPr>
                        <pic:blipFill>
                          <a:blip r:embed="rId9"/>
                          <a:srcRect b="16860"/>
                          <a:stretch>
                            <a:fillRect/>
                          </a:stretch>
                        </pic:blipFill>
                        <pic:spPr>
                          <a:xfrm>
                            <a:off x="0" y="0"/>
                            <a:ext cx="1515110" cy="2111375"/>
                          </a:xfrm>
                          <a:prstGeom prst="rect">
                            <a:avLst/>
                          </a:prstGeom>
                        </pic:spPr>
                      </pic:pic>
                    </a:graphicData>
                  </a:graphic>
                </wp:inline>
              </w:drawing>
            </w:r>
          </w:p>
        </w:tc>
      </w:tr>
      <w:tr w14:paraId="56D64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458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623CF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85CA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12V变压器</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09B9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七彩芯防雨电源400w-12v-CE认证</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CB6D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882B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54</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9C2F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034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653F374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16"/>
                <w:szCs w:val="16"/>
                <w:u w:val="none"/>
                <w:bdr w:val="single" w:color="000000" w:sz="4" w:space="0"/>
                <w:lang w:val="en-US" w:eastAsia="zh-CN" w:bidi="ar"/>
              </w:rPr>
            </w:pPr>
          </w:p>
        </w:tc>
      </w:tr>
      <w:tr w14:paraId="045D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74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0F7B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04ED4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热</w:t>
            </w:r>
            <w:r>
              <w:rPr>
                <w:rFonts w:hint="eastAsia" w:ascii="微软雅黑" w:hAnsi="微软雅黑" w:cs="微软雅黑"/>
                <w:i w:val="0"/>
                <w:iCs w:val="0"/>
                <w:color w:val="000000"/>
                <w:kern w:val="0"/>
                <w:sz w:val="18"/>
                <w:szCs w:val="18"/>
                <w:u w:val="none"/>
                <w:lang w:val="en-US" w:eastAsia="zh-CN" w:bidi="ar"/>
              </w:rPr>
              <w:t>镀锌</w:t>
            </w:r>
            <w:r>
              <w:rPr>
                <w:rFonts w:hint="eastAsia" w:ascii="微软雅黑" w:hAnsi="微软雅黑" w:eastAsia="微软雅黑" w:cs="微软雅黑"/>
                <w:i w:val="0"/>
                <w:iCs w:val="0"/>
                <w:color w:val="000000"/>
                <w:kern w:val="0"/>
                <w:sz w:val="18"/>
                <w:szCs w:val="18"/>
                <w:u w:val="none"/>
                <w:lang w:val="en-US" w:eastAsia="zh-CN" w:bidi="ar"/>
              </w:rPr>
              <w:t>方管</w:t>
            </w:r>
            <w:r>
              <w:rPr>
                <w:rFonts w:hint="eastAsia" w:ascii="微软雅黑" w:hAnsi="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kern w:val="0"/>
                <w:sz w:val="18"/>
                <w:szCs w:val="18"/>
                <w:u w:val="none"/>
                <w:lang w:val="en-US" w:eastAsia="zh-CN" w:bidi="ar"/>
              </w:rPr>
              <w:t>壁厚2.0</w:t>
            </w:r>
            <w:r>
              <w:rPr>
                <w:rFonts w:hint="eastAsia" w:ascii="微软雅黑" w:hAnsi="微软雅黑" w:cs="微软雅黑"/>
                <w:i w:val="0"/>
                <w:iCs w:val="0"/>
                <w:color w:val="000000"/>
                <w:kern w:val="0"/>
                <w:sz w:val="18"/>
                <w:szCs w:val="18"/>
                <w:u w:val="none"/>
                <w:lang w:val="en-US" w:eastAsia="zh-CN" w:bidi="ar"/>
              </w:rPr>
              <w:t>mm）</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477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方管尺寸</w:t>
            </w:r>
            <w:r>
              <w:rPr>
                <w:rFonts w:hint="eastAsia" w:ascii="微软雅黑" w:hAnsi="微软雅黑" w:eastAsia="微软雅黑" w:cs="微软雅黑"/>
                <w:i w:val="0"/>
                <w:iCs w:val="0"/>
                <w:color w:val="000000"/>
                <w:kern w:val="0"/>
                <w:sz w:val="18"/>
                <w:szCs w:val="18"/>
                <w:u w:val="none"/>
                <w:lang w:val="en-US" w:eastAsia="zh-CN" w:bidi="ar"/>
              </w:rPr>
              <w:t>4x4</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EE944">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米</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84F54">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highlight w:val="none"/>
                <w:u w:val="none"/>
                <w:lang w:val="en-US" w:eastAsia="zh-CN" w:bidi="ar"/>
              </w:rPr>
              <w:t>504（误差±10）</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F2DBD">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1DDC5">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1500" w:type="pct"/>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127E4C5D">
            <w:pPr>
              <w:keepNext w:val="0"/>
              <w:keepLines w:val="0"/>
              <w:widowControl/>
              <w:suppressLineNumbers w:val="0"/>
              <w:jc w:val="center"/>
              <w:textAlignment w:val="top"/>
              <w:rPr>
                <w:rFonts w:hint="eastAsia" w:ascii="微软雅黑" w:hAnsi="微软雅黑" w:eastAsia="微软雅黑" w:cs="微软雅黑"/>
                <w:i w:val="0"/>
                <w:iCs w:val="0"/>
                <w:color w:val="000000"/>
                <w:kern w:val="0"/>
                <w:sz w:val="16"/>
                <w:szCs w:val="16"/>
                <w:u w:val="none"/>
                <w:bdr w:val="single" w:color="000000" w:sz="4" w:space="0"/>
                <w:lang w:val="en-US" w:eastAsia="zh-CN" w:bidi="ar"/>
              </w:rPr>
            </w:pPr>
          </w:p>
        </w:tc>
      </w:tr>
      <w:tr w14:paraId="00576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B8C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FBEFB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11ED5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电线、玻璃胶及</w:t>
            </w:r>
            <w:r>
              <w:rPr>
                <w:rFonts w:hint="eastAsia" w:ascii="微软雅黑" w:hAnsi="微软雅黑" w:cs="微软雅黑"/>
                <w:i w:val="0"/>
                <w:iCs w:val="0"/>
                <w:color w:val="000000"/>
                <w:kern w:val="0"/>
                <w:sz w:val="18"/>
                <w:szCs w:val="18"/>
                <w:u w:val="none"/>
                <w:lang w:val="en-US" w:eastAsia="zh-CN" w:bidi="ar"/>
              </w:rPr>
              <w:t>所需的全部</w:t>
            </w:r>
            <w:r>
              <w:rPr>
                <w:rFonts w:hint="eastAsia" w:ascii="微软雅黑" w:hAnsi="微软雅黑" w:eastAsia="微软雅黑" w:cs="微软雅黑"/>
                <w:i w:val="0"/>
                <w:iCs w:val="0"/>
                <w:color w:val="000000"/>
                <w:kern w:val="0"/>
                <w:sz w:val="18"/>
                <w:szCs w:val="18"/>
                <w:u w:val="none"/>
                <w:lang w:val="en-US" w:eastAsia="zh-CN" w:bidi="ar"/>
              </w:rPr>
              <w:t>辅材</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744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太阳牌电线WDZB-BYJ4.0</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63EC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616C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74D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25BD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1500" w:type="pct"/>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0F9C803">
            <w:pPr>
              <w:keepNext w:val="0"/>
              <w:keepLines w:val="0"/>
              <w:widowControl/>
              <w:suppressLineNumbers w:val="0"/>
              <w:jc w:val="center"/>
              <w:textAlignment w:val="top"/>
              <w:rPr>
                <w:rFonts w:hint="eastAsia" w:ascii="微软雅黑" w:hAnsi="微软雅黑" w:eastAsia="微软雅黑" w:cs="微软雅黑"/>
                <w:i w:val="0"/>
                <w:iCs w:val="0"/>
                <w:color w:val="000000"/>
                <w:kern w:val="0"/>
                <w:sz w:val="16"/>
                <w:szCs w:val="16"/>
                <w:u w:val="none"/>
                <w:bdr w:val="single" w:color="000000" w:sz="4" w:space="0"/>
                <w:lang w:val="en-US" w:eastAsia="zh-CN" w:bidi="ar"/>
              </w:rPr>
            </w:pPr>
          </w:p>
        </w:tc>
      </w:tr>
      <w:tr w14:paraId="00E3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847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1030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7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4B83F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安装费+吊装</w:t>
            </w:r>
          </w:p>
        </w:tc>
        <w:tc>
          <w:tcPr>
            <w:tcW w:w="7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D528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sz w:val="18"/>
                <w:szCs w:val="18"/>
                <w:u w:val="none"/>
                <w:lang w:val="en-US" w:eastAsia="zh-CN"/>
              </w:rPr>
              <w:t>字体固定、线路连接、安装调试、含运费和吊装费(含</w:t>
            </w:r>
            <w:r>
              <w:rPr>
                <w:rFonts w:hint="eastAsia" w:ascii="微软雅黑" w:hAnsi="微软雅黑" w:eastAsia="微软雅黑" w:cs="微软雅黑"/>
                <w:i w:val="0"/>
                <w:iCs w:val="0"/>
                <w:color w:val="000000"/>
                <w:kern w:val="0"/>
                <w:sz w:val="18"/>
                <w:szCs w:val="18"/>
                <w:u w:val="none"/>
                <w:lang w:val="en-US" w:eastAsia="zh-CN" w:bidi="ar"/>
              </w:rPr>
              <w:t>“福建</w:t>
            </w:r>
            <w:r>
              <w:rPr>
                <w:rFonts w:hint="eastAsia" w:ascii="微软雅黑" w:hAnsi="微软雅黑" w:cs="微软雅黑"/>
                <w:i w:val="0"/>
                <w:iCs w:val="0"/>
                <w:color w:val="000000"/>
                <w:kern w:val="0"/>
                <w:sz w:val="18"/>
                <w:szCs w:val="18"/>
                <w:u w:val="none"/>
                <w:lang w:val="en-US" w:eastAsia="zh-CN" w:bidi="ar"/>
              </w:rPr>
              <w:t>省肿瘤医院</w:t>
            </w:r>
            <w:r>
              <w:rPr>
                <w:rFonts w:hint="eastAsia" w:ascii="微软雅黑" w:hAnsi="微软雅黑" w:eastAsia="微软雅黑" w:cs="微软雅黑"/>
                <w:i w:val="0"/>
                <w:iCs w:val="0"/>
                <w:color w:val="000000"/>
                <w:kern w:val="0"/>
                <w:sz w:val="18"/>
                <w:szCs w:val="18"/>
                <w:u w:val="none"/>
                <w:lang w:val="en-US" w:eastAsia="zh-CN" w:bidi="ar"/>
              </w:rPr>
              <w:t>”</w:t>
            </w:r>
            <w:r>
              <w:rPr>
                <w:rFonts w:hint="eastAsia" w:ascii="微软雅黑" w:hAnsi="微软雅黑" w:cs="微软雅黑"/>
                <w:i w:val="0"/>
                <w:iCs w:val="0"/>
                <w:color w:val="000000"/>
                <w:kern w:val="0"/>
                <w:sz w:val="18"/>
                <w:szCs w:val="18"/>
                <w:u w:val="none"/>
                <w:lang w:val="en-US" w:eastAsia="zh-CN" w:bidi="ar"/>
              </w:rPr>
              <w:t>7</w:t>
            </w:r>
            <w:r>
              <w:rPr>
                <w:rFonts w:hint="eastAsia" w:ascii="微软雅黑" w:hAnsi="微软雅黑" w:cs="微软雅黑"/>
                <w:i w:val="0"/>
                <w:iCs w:val="0"/>
                <w:color w:val="000000"/>
                <w:sz w:val="18"/>
                <w:szCs w:val="18"/>
                <w:u w:val="none"/>
                <w:lang w:val="en-US" w:eastAsia="zh-CN"/>
              </w:rPr>
              <w:t>个字标识）</w:t>
            </w: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9129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9DA3A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B071DA">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2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34F3D">
            <w:pPr>
              <w:keepNext w:val="0"/>
              <w:keepLines w:val="0"/>
              <w:widowControl/>
              <w:suppressLineNumbers w:val="0"/>
              <w:jc w:val="center"/>
              <w:textAlignment w:val="center"/>
              <w:rPr>
                <w:rFonts w:hint="eastAsia" w:ascii="微软雅黑" w:hAnsi="微软雅黑" w:cs="微软雅黑"/>
                <w:i w:val="0"/>
                <w:iCs w:val="0"/>
                <w:color w:val="000000"/>
                <w:kern w:val="0"/>
                <w:sz w:val="18"/>
                <w:szCs w:val="18"/>
                <w:u w:val="none"/>
                <w:lang w:val="en-US" w:eastAsia="zh-CN" w:bidi="ar"/>
              </w:rPr>
            </w:pPr>
          </w:p>
        </w:tc>
        <w:tc>
          <w:tcPr>
            <w:tcW w:w="1500" w:type="pct"/>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7B199F50">
            <w:pPr>
              <w:keepNext w:val="0"/>
              <w:keepLines w:val="0"/>
              <w:widowControl/>
              <w:suppressLineNumbers w:val="0"/>
              <w:jc w:val="center"/>
              <w:textAlignment w:val="top"/>
              <w:rPr>
                <w:rFonts w:hint="eastAsia" w:ascii="微软雅黑" w:hAnsi="微软雅黑" w:eastAsia="微软雅黑" w:cs="微软雅黑"/>
                <w:i w:val="0"/>
                <w:iCs w:val="0"/>
                <w:color w:val="000000"/>
                <w:kern w:val="0"/>
                <w:sz w:val="16"/>
                <w:szCs w:val="16"/>
                <w:u w:val="none"/>
                <w:bdr w:val="single" w:color="000000" w:sz="4" w:space="0"/>
                <w:lang w:val="en-US" w:eastAsia="zh-CN" w:bidi="ar"/>
              </w:rPr>
            </w:pPr>
          </w:p>
        </w:tc>
      </w:tr>
      <w:tr w14:paraId="7BC5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9"/>
            <w:tcBorders>
              <w:left w:val="single" w:color="000000" w:sz="4" w:space="0"/>
              <w:bottom w:val="single" w:color="000000" w:sz="4" w:space="0"/>
              <w:right w:val="single" w:color="auto" w:sz="4" w:space="0"/>
            </w:tcBorders>
            <w:shd w:val="clear" w:color="auto" w:fill="auto"/>
            <w:noWrap/>
            <w:vAlign w:val="center"/>
          </w:tcPr>
          <w:p w14:paraId="7E01C4D4">
            <w:pPr>
              <w:keepNext w:val="0"/>
              <w:keepLines w:val="0"/>
              <w:widowControl/>
              <w:suppressLineNumbers w:val="0"/>
              <w:jc w:val="both"/>
              <w:textAlignment w:val="top"/>
              <w:rPr>
                <w:rFonts w:hint="default" w:ascii="微软雅黑" w:hAnsi="微软雅黑" w:eastAsia="微软雅黑" w:cs="微软雅黑"/>
                <w:i w:val="0"/>
                <w:iCs w:val="0"/>
                <w:color w:val="000000"/>
                <w:kern w:val="0"/>
                <w:sz w:val="16"/>
                <w:szCs w:val="16"/>
                <w:u w:val="none"/>
                <w:bdr w:val="single" w:color="000000" w:sz="4" w:space="0"/>
                <w:lang w:val="en-US" w:eastAsia="zh-CN" w:bidi="ar"/>
              </w:rPr>
            </w:pPr>
            <w:r>
              <w:rPr>
                <w:rFonts w:hint="eastAsia" w:ascii="微软雅黑" w:hAnsi="微软雅黑" w:cs="微软雅黑"/>
                <w:i w:val="0"/>
                <w:iCs w:val="0"/>
                <w:color w:val="000000"/>
                <w:kern w:val="0"/>
                <w:sz w:val="18"/>
                <w:szCs w:val="18"/>
                <w:u w:val="none"/>
                <w:lang w:val="en-US" w:eastAsia="zh-CN" w:bidi="ar"/>
              </w:rPr>
              <w:t>备注：</w:t>
            </w:r>
            <w:r>
              <w:rPr>
                <w:rFonts w:hint="default" w:ascii="微软雅黑" w:hAnsi="微软雅黑" w:eastAsia="微软雅黑" w:cs="微软雅黑"/>
                <w:i w:val="0"/>
                <w:iCs w:val="0"/>
                <w:color w:val="000000"/>
                <w:kern w:val="0"/>
                <w:sz w:val="18"/>
                <w:szCs w:val="18"/>
                <w:u w:val="none"/>
                <w:lang w:val="en-US" w:eastAsia="zh-CN" w:bidi="ar"/>
              </w:rPr>
              <w:t>由于安装工程和拆除工程部分为预估数量，项目实际实施过程中，数量可能会超过预估数量。本项目采用总价包干含安装，投标人须结合实际情况自主报价，若数量超过预估数量，采购人不额外支付费用。</w:t>
            </w:r>
          </w:p>
        </w:tc>
      </w:tr>
    </w:tbl>
    <w:p w14:paraId="6B7F793D">
      <w:pPr>
        <w:pStyle w:val="47"/>
        <w:rPr>
          <w:rFonts w:hint="eastAsia" w:ascii="宋体" w:hAnsi="宋体" w:cs="宋体"/>
          <w:color w:val="404040"/>
          <w:kern w:val="0"/>
          <w:sz w:val="26"/>
          <w:szCs w:val="26"/>
          <w:highlight w:val="none"/>
          <w:lang w:val="en-US" w:eastAsia="zh-CN" w:bidi="ar-SA"/>
        </w:rPr>
      </w:pPr>
      <w:r>
        <w:rPr>
          <w:rFonts w:hint="eastAsia" w:ascii="宋体" w:hAnsi="宋体" w:cs="宋体"/>
          <w:color w:val="404040"/>
          <w:kern w:val="0"/>
          <w:sz w:val="26"/>
          <w:szCs w:val="26"/>
          <w:highlight w:val="none"/>
          <w:lang w:val="en-US" w:eastAsia="zh-CN" w:bidi="ar-SA"/>
        </w:rPr>
        <w:t>备注（交钥匙模式说明）</w:t>
      </w:r>
    </w:p>
    <w:p w14:paraId="04B556ED">
      <w:pPr>
        <w:pStyle w:val="47"/>
        <w:ind w:firstLine="520" w:firstLineChars="200"/>
        <w:rPr>
          <w:rFonts w:hint="default" w:ascii="宋体" w:hAnsi="宋体" w:cs="宋体"/>
          <w:color w:val="404040"/>
          <w:kern w:val="0"/>
          <w:sz w:val="26"/>
          <w:szCs w:val="26"/>
          <w:highlight w:val="none"/>
          <w:lang w:val="en-US" w:eastAsia="zh-CN" w:bidi="ar-SA"/>
        </w:rPr>
      </w:pPr>
      <w:r>
        <w:rPr>
          <w:rFonts w:hint="eastAsia" w:ascii="宋体" w:hAnsi="宋体" w:cs="宋体"/>
          <w:color w:val="404040"/>
          <w:kern w:val="0"/>
          <w:sz w:val="26"/>
          <w:szCs w:val="26"/>
          <w:highlight w:val="none"/>
          <w:lang w:val="en-US" w:eastAsia="zh-CN" w:bidi="ar-SA"/>
        </w:rPr>
        <w:t>本项目采用交钥匙工程模式实施，中标人需承担本项目全部工作内容，包括但不限于：发光字及灯箱的深化设计、原材料采购、生产制作、旧标识拆除、新标识安装调试、剩余旧字除锈刷漆、成品保护、质量检测、安全文明施工、售后维保及相关技术培训等所有环节。项目竣工后，中标人需向招标人交付符合国家规范及招标要求的、可直接投入正常使用的完整成果，招标人无需另行投入其他工作或成本。</w:t>
      </w:r>
    </w:p>
    <w:p w14:paraId="0E211C79">
      <w:pPr>
        <w:jc w:val="center"/>
        <w:rPr>
          <w:rFonts w:hint="eastAsia" w:eastAsiaTheme="minorEastAsia"/>
          <w:lang w:eastAsia="zh-CN"/>
        </w:rPr>
      </w:pPr>
      <w:r>
        <w:rPr>
          <w:rFonts w:hint="eastAsia" w:eastAsiaTheme="minorEastAsia"/>
          <w:lang w:eastAsia="zh-CN"/>
        </w:rPr>
        <w:drawing>
          <wp:inline distT="0" distB="0" distL="114300" distR="114300">
            <wp:extent cx="5049520" cy="2270125"/>
            <wp:effectExtent l="0" t="0" r="17780" b="15875"/>
            <wp:docPr id="7" name="图片 7" descr="69559e9b13c9b5c705b9d33a3f5a4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9559e9b13c9b5c705b9d33a3f5a4f50"/>
                    <pic:cNvPicPr>
                      <a:picLocks noChangeAspect="1"/>
                    </pic:cNvPicPr>
                  </pic:nvPicPr>
                  <pic:blipFill>
                    <a:blip r:embed="rId10"/>
                    <a:srcRect l="4193"/>
                    <a:stretch>
                      <a:fillRect/>
                    </a:stretch>
                  </pic:blipFill>
                  <pic:spPr>
                    <a:xfrm>
                      <a:off x="0" y="0"/>
                      <a:ext cx="5049520" cy="2270125"/>
                    </a:xfrm>
                    <a:prstGeom prst="rect">
                      <a:avLst/>
                    </a:prstGeom>
                  </pic:spPr>
                </pic:pic>
              </a:graphicData>
            </a:graphic>
          </wp:inline>
        </w:drawing>
      </w:r>
      <w:r>
        <w:rPr>
          <w:rFonts w:hint="eastAsia" w:eastAsiaTheme="minorEastAsia"/>
          <w:lang w:eastAsia="zh-CN"/>
        </w:rPr>
        <w:drawing>
          <wp:inline distT="0" distB="0" distL="114300" distR="114300">
            <wp:extent cx="5267325" cy="4108450"/>
            <wp:effectExtent l="0" t="0" r="9525" b="6350"/>
            <wp:docPr id="6" name="图片 6" descr="443c03a210836b94eb6706fea75a2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43c03a210836b94eb6706fea75a2b87"/>
                    <pic:cNvPicPr>
                      <a:picLocks noChangeAspect="1"/>
                    </pic:cNvPicPr>
                  </pic:nvPicPr>
                  <pic:blipFill>
                    <a:blip r:embed="rId11"/>
                    <a:stretch>
                      <a:fillRect/>
                    </a:stretch>
                  </pic:blipFill>
                  <pic:spPr>
                    <a:xfrm>
                      <a:off x="0" y="0"/>
                      <a:ext cx="5267325" cy="4108450"/>
                    </a:xfrm>
                    <a:prstGeom prst="rect">
                      <a:avLst/>
                    </a:prstGeom>
                  </pic:spPr>
                </pic:pic>
              </a:graphicData>
            </a:graphic>
          </wp:inline>
        </w:drawing>
      </w:r>
    </w:p>
    <w:p w14:paraId="09AB39FE">
      <w:pPr>
        <w:pStyle w:val="19"/>
        <w:keepNext w:val="0"/>
        <w:keepLines w:val="0"/>
        <w:widowControl/>
        <w:suppressLineNumbers w:val="0"/>
        <w:shd w:val="clear" w:fill="FFFFFF"/>
        <w:spacing w:before="240" w:beforeAutospacing="0" w:after="0" w:afterAutospacing="0"/>
        <w:ind w:left="0" w:right="0" w:firstLine="0"/>
        <w:jc w:val="center"/>
        <w:rPr>
          <w:rFonts w:hint="eastAsia" w:ascii="仿宋_GB2312" w:hAnsi="等线" w:eastAsia="仿宋_GB2312" w:cs="黑体"/>
          <w:b/>
          <w:bCs/>
          <w:kern w:val="2"/>
          <w:sz w:val="32"/>
          <w:szCs w:val="32"/>
          <w:lang w:val="en-US" w:eastAsia="zh-CN" w:bidi="ar-SA"/>
        </w:rPr>
      </w:pPr>
      <w:r>
        <w:rPr>
          <w:rFonts w:hint="eastAsia" w:ascii="仿宋_GB2312" w:hAnsi="等线" w:eastAsia="仿宋_GB2312" w:cs="黑体"/>
          <w:b/>
          <w:bCs/>
          <w:kern w:val="2"/>
          <w:sz w:val="32"/>
          <w:szCs w:val="32"/>
          <w:lang w:val="en-US" w:eastAsia="zh-CN" w:bidi="ar-SA"/>
        </w:rPr>
        <w:t>（外科楼南侧改造发光字效果图）</w:t>
      </w:r>
    </w:p>
    <w:p w14:paraId="546D627F">
      <w:pPr>
        <w:pStyle w:val="19"/>
        <w:keepNext w:val="0"/>
        <w:keepLines w:val="0"/>
        <w:widowControl/>
        <w:suppressLineNumbers w:val="0"/>
        <w:shd w:val="clear" w:fill="FFFFFF"/>
        <w:spacing w:before="240" w:beforeAutospacing="0" w:after="0" w:afterAutospacing="0"/>
        <w:ind w:left="0" w:right="0" w:firstLine="0"/>
        <w:jc w:val="center"/>
        <w:rPr>
          <w:rFonts w:hint="eastAsia" w:ascii="仿宋_GB2312" w:hAnsi="等线" w:eastAsia="仿宋_GB2312" w:cs="黑体"/>
          <w:b/>
          <w:bCs/>
          <w:kern w:val="2"/>
          <w:sz w:val="32"/>
          <w:szCs w:val="32"/>
          <w:lang w:val="en-US" w:eastAsia="zh-CN" w:bidi="ar-SA"/>
        </w:rPr>
      </w:pPr>
    </w:p>
    <w:p w14:paraId="16027016">
      <w:pPr>
        <w:pStyle w:val="19"/>
        <w:keepNext w:val="0"/>
        <w:keepLines w:val="0"/>
        <w:widowControl/>
        <w:suppressLineNumbers w:val="0"/>
        <w:shd w:val="clear" w:fill="FFFFFF"/>
        <w:spacing w:before="240" w:beforeAutospacing="0" w:after="0" w:afterAutospacing="0"/>
        <w:ind w:left="0" w:right="0" w:firstLine="0"/>
        <w:jc w:val="center"/>
        <w:rPr>
          <w:rFonts w:hint="eastAsia" w:ascii="仿宋_GB2312" w:hAnsi="等线" w:eastAsia="仿宋_GB2312" w:cs="黑体"/>
          <w:b/>
          <w:bCs/>
          <w:kern w:val="2"/>
          <w:sz w:val="32"/>
          <w:szCs w:val="32"/>
          <w:lang w:val="en-US" w:eastAsia="zh-CN" w:bidi="ar-SA"/>
        </w:rPr>
      </w:pPr>
      <w:r>
        <w:rPr>
          <w:rFonts w:hint="default" w:ascii="仿宋_GB2312" w:hAnsi="等线" w:eastAsia="仿宋_GB2312" w:cs="黑体"/>
          <w:kern w:val="2"/>
          <w:sz w:val="32"/>
          <w:szCs w:val="32"/>
          <w:lang w:val="en-US" w:eastAsia="zh-CN" w:bidi="ar-SA"/>
        </w:rPr>
        <w:drawing>
          <wp:inline distT="0" distB="0" distL="114300" distR="114300">
            <wp:extent cx="6470015" cy="1134745"/>
            <wp:effectExtent l="0" t="0" r="6985" b="8255"/>
            <wp:docPr id="2" name="图片 2" descr="baf6474aff5bcf5a18c1ebf5a74e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af6474aff5bcf5a18c1ebf5a74e6948"/>
                    <pic:cNvPicPr>
                      <a:picLocks noChangeAspect="1"/>
                    </pic:cNvPicPr>
                  </pic:nvPicPr>
                  <pic:blipFill>
                    <a:blip r:embed="rId12"/>
                    <a:stretch>
                      <a:fillRect/>
                    </a:stretch>
                  </pic:blipFill>
                  <pic:spPr>
                    <a:xfrm>
                      <a:off x="0" y="0"/>
                      <a:ext cx="6470015" cy="1134745"/>
                    </a:xfrm>
                    <a:prstGeom prst="rect">
                      <a:avLst/>
                    </a:prstGeom>
                  </pic:spPr>
                </pic:pic>
              </a:graphicData>
            </a:graphic>
          </wp:inline>
        </w:drawing>
      </w:r>
      <w:r>
        <w:rPr>
          <w:rFonts w:hint="default" w:ascii="仿宋_GB2312" w:hAnsi="等线" w:eastAsia="仿宋_GB2312" w:cs="黑体"/>
          <w:kern w:val="2"/>
          <w:sz w:val="32"/>
          <w:szCs w:val="32"/>
          <w:lang w:val="en-US" w:eastAsia="zh-CN" w:bidi="ar-SA"/>
        </w:rPr>
        <w:drawing>
          <wp:inline distT="0" distB="0" distL="114300" distR="114300">
            <wp:extent cx="3438525" cy="4791075"/>
            <wp:effectExtent l="0" t="0" r="9525" b="9525"/>
            <wp:docPr id="3" name="图片 3" descr="324b60256d1fe3e757646a0da317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4b60256d1fe3e757646a0da3179654"/>
                    <pic:cNvPicPr>
                      <a:picLocks noChangeAspect="1"/>
                    </pic:cNvPicPr>
                  </pic:nvPicPr>
                  <pic:blipFill>
                    <a:blip r:embed="rId9"/>
                    <a:srcRect b="16860"/>
                    <a:stretch>
                      <a:fillRect/>
                    </a:stretch>
                  </pic:blipFill>
                  <pic:spPr>
                    <a:xfrm>
                      <a:off x="0" y="0"/>
                      <a:ext cx="3438525" cy="4791075"/>
                    </a:xfrm>
                    <a:prstGeom prst="rect">
                      <a:avLst/>
                    </a:prstGeom>
                  </pic:spPr>
                </pic:pic>
              </a:graphicData>
            </a:graphic>
          </wp:inline>
        </w:drawing>
      </w:r>
    </w:p>
    <w:p w14:paraId="38213107">
      <w:pPr>
        <w:pStyle w:val="19"/>
        <w:keepNext w:val="0"/>
        <w:keepLines w:val="0"/>
        <w:widowControl/>
        <w:suppressLineNumbers w:val="0"/>
        <w:shd w:val="clear" w:fill="FFFFFF"/>
        <w:spacing w:before="240" w:beforeAutospacing="0" w:after="0" w:afterAutospacing="0"/>
        <w:ind w:left="0" w:right="0" w:firstLine="0"/>
        <w:jc w:val="center"/>
        <w:rPr>
          <w:rFonts w:hint="eastAsia" w:ascii="仿宋_GB2312" w:hAnsi="等线" w:eastAsia="仿宋_GB2312" w:cs="黑体"/>
          <w:b/>
          <w:bCs/>
          <w:kern w:val="2"/>
          <w:sz w:val="32"/>
          <w:szCs w:val="32"/>
          <w:lang w:val="en-US" w:eastAsia="zh-CN" w:bidi="ar-SA"/>
        </w:rPr>
      </w:pPr>
      <w:r>
        <w:rPr>
          <w:rFonts w:hint="eastAsia" w:ascii="仿宋_GB2312" w:hAnsi="等线" w:eastAsia="仿宋_GB2312" w:cs="黑体"/>
          <w:b/>
          <w:bCs/>
          <w:kern w:val="2"/>
          <w:sz w:val="32"/>
          <w:szCs w:val="32"/>
          <w:lang w:val="en-US" w:eastAsia="zh-CN" w:bidi="ar-SA"/>
        </w:rPr>
        <w:t>（外科楼北侧效果图）</w:t>
      </w:r>
    </w:p>
    <w:p w14:paraId="17EDD436">
      <w:pPr>
        <w:pStyle w:val="47"/>
        <w:rPr>
          <w:rFonts w:hint="default" w:ascii="宋体" w:hAnsi="宋体" w:cs="宋体"/>
          <w:color w:val="404040"/>
          <w:kern w:val="0"/>
          <w:sz w:val="26"/>
          <w:szCs w:val="26"/>
          <w:lang w:val="en-US" w:eastAsia="zh-CN" w:bidi="ar-SA"/>
        </w:rPr>
      </w:pPr>
    </w:p>
    <w:p w14:paraId="4E20F30E">
      <w:pPr>
        <w:pStyle w:val="47"/>
        <w:keepNext w:val="0"/>
        <w:keepLines w:val="0"/>
        <w:pageBreakBefore w:val="0"/>
        <w:widowControl/>
        <w:numPr>
          <w:ilvl w:val="0"/>
          <w:numId w:val="0"/>
        </w:numPr>
        <w:kinsoku/>
        <w:wordWrap/>
        <w:overflowPunct/>
        <w:topLinePunct w:val="0"/>
        <w:autoSpaceDE/>
        <w:autoSpaceDN/>
        <w:bidi w:val="0"/>
        <w:spacing w:line="480" w:lineRule="atLeast"/>
        <w:textAlignment w:val="auto"/>
        <w:rPr>
          <w:rFonts w:hint="eastAsia" w:ascii="黑体" w:hAnsi="黑体" w:eastAsia="黑体" w:cs="宋体"/>
          <w:b/>
          <w:bCs/>
          <w:color w:val="404040"/>
          <w:kern w:val="0"/>
          <w:sz w:val="26"/>
          <w:szCs w:val="22"/>
          <w:lang w:val="en-US" w:eastAsia="zh-CN" w:bidi="ar-SA"/>
        </w:rPr>
      </w:pPr>
      <w:r>
        <w:rPr>
          <w:rFonts w:hint="eastAsia" w:ascii="黑体" w:hAnsi="黑体" w:eastAsia="黑体" w:cs="宋体"/>
          <w:b/>
          <w:bCs/>
          <w:color w:val="404040"/>
          <w:kern w:val="0"/>
          <w:sz w:val="26"/>
          <w:szCs w:val="22"/>
          <w:lang w:val="en-US" w:eastAsia="zh-CN" w:bidi="ar-SA"/>
        </w:rPr>
        <w:t xml:space="preserve">二、技术和服务要求 </w:t>
      </w:r>
    </w:p>
    <w:p w14:paraId="108ED88B">
      <w:pPr>
        <w:pStyle w:val="47"/>
        <w:keepNext w:val="0"/>
        <w:keepLines w:val="0"/>
        <w:pageBreakBefore w:val="0"/>
        <w:widowControl/>
        <w:numPr>
          <w:ilvl w:val="0"/>
          <w:numId w:val="10"/>
        </w:numPr>
        <w:tabs>
          <w:tab w:val="left" w:pos="951"/>
        </w:tabs>
        <w:kinsoku/>
        <w:wordWrap/>
        <w:overflowPunct/>
        <w:topLinePunct w:val="0"/>
        <w:autoSpaceDE/>
        <w:autoSpaceDN/>
        <w:bidi w:val="0"/>
        <w:spacing w:line="480" w:lineRule="atLeast"/>
        <w:ind w:left="0" w:leftChars="0" w:firstLine="420" w:firstLineChars="0"/>
        <w:textAlignment w:val="auto"/>
        <w:rPr>
          <w:rFonts w:hint="default" w:ascii="宋体" w:hAnsi="宋体" w:eastAsia="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基本要求</w:t>
      </w:r>
    </w:p>
    <w:p w14:paraId="43F89ED1">
      <w:pPr>
        <w:pStyle w:val="47"/>
        <w:keepNext w:val="0"/>
        <w:keepLines w:val="0"/>
        <w:pageBreakBefore w:val="0"/>
        <w:widowControl/>
        <w:numPr>
          <w:ilvl w:val="0"/>
          <w:numId w:val="11"/>
        </w:numPr>
        <w:tabs>
          <w:tab w:val="left" w:pos="951"/>
        </w:tabs>
        <w:kinsoku/>
        <w:wordWrap/>
        <w:overflowPunct/>
        <w:topLinePunct w:val="0"/>
        <w:autoSpaceDE/>
        <w:autoSpaceDN/>
        <w:bidi w:val="0"/>
        <w:spacing w:line="480" w:lineRule="atLeast"/>
        <w:ind w:left="-80" w:leftChars="0" w:firstLine="520" w:firstLineChars="0"/>
        <w:textAlignment w:val="auto"/>
        <w:rPr>
          <w:rFonts w:hint="default" w:ascii="宋体" w:hAnsi="宋体" w:eastAsia="宋体" w:cs="宋体"/>
          <w:color w:val="404040"/>
          <w:kern w:val="0"/>
          <w:sz w:val="26"/>
          <w:szCs w:val="26"/>
          <w:highlight w:val="none"/>
          <w:lang w:val="en-US" w:eastAsia="zh-CN" w:bidi="ar-SA"/>
        </w:rPr>
      </w:pPr>
      <w:r>
        <w:rPr>
          <w:rFonts w:hint="eastAsia" w:ascii="宋体" w:hAnsi="宋体" w:eastAsia="宋体" w:cs="宋体"/>
          <w:color w:val="404040"/>
          <w:kern w:val="0"/>
          <w:sz w:val="26"/>
          <w:szCs w:val="26"/>
          <w:highlight w:val="none"/>
          <w:lang w:val="en-US" w:eastAsia="zh-CN" w:bidi="ar-SA"/>
        </w:rPr>
        <w:t xml:space="preserve">每个配电箱还需配置时控装置。 </w:t>
      </w:r>
    </w:p>
    <w:p w14:paraId="29283261">
      <w:pPr>
        <w:pStyle w:val="47"/>
        <w:keepNext w:val="0"/>
        <w:keepLines w:val="0"/>
        <w:pageBreakBefore w:val="0"/>
        <w:widowControl/>
        <w:numPr>
          <w:ilvl w:val="0"/>
          <w:numId w:val="11"/>
        </w:numPr>
        <w:tabs>
          <w:tab w:val="left" w:pos="951"/>
        </w:tabs>
        <w:kinsoku/>
        <w:wordWrap/>
        <w:overflowPunct/>
        <w:topLinePunct w:val="0"/>
        <w:autoSpaceDE/>
        <w:autoSpaceDN/>
        <w:bidi w:val="0"/>
        <w:spacing w:line="480" w:lineRule="atLeast"/>
        <w:ind w:left="-80" w:leftChars="0" w:firstLine="520" w:firstLineChars="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为方便检修，所有电源适配器均安装在屋面</w:t>
      </w:r>
      <w:r>
        <w:rPr>
          <w:rFonts w:hint="eastAsia" w:ascii="宋体" w:hAnsi="宋体" w:cs="宋体"/>
          <w:color w:val="404040"/>
          <w:kern w:val="0"/>
          <w:sz w:val="26"/>
          <w:szCs w:val="26"/>
          <w:lang w:val="en-US" w:eastAsia="zh-CN" w:bidi="ar-SA"/>
        </w:rPr>
        <w:t>较低位置</w:t>
      </w:r>
      <w:r>
        <w:rPr>
          <w:rFonts w:hint="eastAsia" w:ascii="宋体" w:hAnsi="宋体" w:eastAsia="宋体" w:cs="宋体"/>
          <w:color w:val="404040"/>
          <w:kern w:val="0"/>
          <w:sz w:val="26"/>
          <w:szCs w:val="26"/>
          <w:lang w:val="en-US" w:eastAsia="zh-CN" w:bidi="ar-SA"/>
        </w:rPr>
        <w:t xml:space="preserve">。 </w:t>
      </w:r>
    </w:p>
    <w:p w14:paraId="42CFE315">
      <w:pPr>
        <w:pStyle w:val="47"/>
        <w:keepNext w:val="0"/>
        <w:keepLines w:val="0"/>
        <w:pageBreakBefore w:val="0"/>
        <w:widowControl/>
        <w:numPr>
          <w:ilvl w:val="0"/>
          <w:numId w:val="11"/>
        </w:numPr>
        <w:tabs>
          <w:tab w:val="left" w:pos="951"/>
        </w:tabs>
        <w:kinsoku/>
        <w:wordWrap/>
        <w:overflowPunct/>
        <w:topLinePunct w:val="0"/>
        <w:autoSpaceDE/>
        <w:autoSpaceDN/>
        <w:bidi w:val="0"/>
        <w:spacing w:line="480" w:lineRule="atLeast"/>
        <w:ind w:left="-80" w:leftChars="0" w:firstLine="520" w:firstLineChars="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供应商须提供全新的货物(含零部件、配件等)，表面无划伤、无碰撞痕迹， 且权属清楚，不得侵害他人的知识产权，并按照相关要求包装完好。包装应适应 于远距离运输、防潮、防震、防锈和防野蛮装卸，以确保货物安全无损运抵指定地点。</w:t>
      </w:r>
      <w:r>
        <w:rPr>
          <w:rFonts w:hint="eastAsia" w:ascii="宋体" w:hAnsi="宋体" w:cs="宋体"/>
          <w:color w:val="404040"/>
          <w:kern w:val="0"/>
          <w:sz w:val="26"/>
          <w:szCs w:val="26"/>
          <w:lang w:val="en-US" w:eastAsia="zh-CN" w:bidi="ar-SA"/>
        </w:rPr>
        <w:t>发光字标识和院徽</w:t>
      </w:r>
      <w:r>
        <w:rPr>
          <w:rFonts w:hint="eastAsia" w:ascii="宋体" w:hAnsi="宋体" w:eastAsia="宋体" w:cs="宋体"/>
          <w:color w:val="404040"/>
          <w:kern w:val="0"/>
          <w:sz w:val="26"/>
          <w:szCs w:val="26"/>
          <w:lang w:val="en-US" w:eastAsia="zh-CN" w:bidi="ar-SA"/>
        </w:rPr>
        <w:t>安装要确保牢固可靠。</w:t>
      </w:r>
    </w:p>
    <w:p w14:paraId="372BF9E9">
      <w:pPr>
        <w:pStyle w:val="47"/>
        <w:keepNext w:val="0"/>
        <w:keepLines w:val="0"/>
        <w:pageBreakBefore w:val="0"/>
        <w:widowControl/>
        <w:numPr>
          <w:ilvl w:val="0"/>
          <w:numId w:val="10"/>
        </w:numPr>
        <w:tabs>
          <w:tab w:val="left" w:pos="951"/>
        </w:tabs>
        <w:kinsoku/>
        <w:wordWrap/>
        <w:overflowPunct/>
        <w:topLinePunct w:val="0"/>
        <w:autoSpaceDE/>
        <w:autoSpaceDN/>
        <w:bidi w:val="0"/>
        <w:spacing w:line="480" w:lineRule="atLeast"/>
        <w:ind w:left="0" w:leftChars="0" w:firstLine="420" w:firstLineChars="0"/>
        <w:textAlignment w:val="auto"/>
        <w:rPr>
          <w:rFonts w:hint="eastAsia" w:ascii="宋体" w:hAnsi="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安装施工安全要求</w:t>
      </w:r>
      <w:r>
        <w:rPr>
          <w:rFonts w:hint="eastAsia" w:ascii="宋体" w:hAnsi="宋体" w:cs="宋体"/>
          <w:color w:val="404040"/>
          <w:kern w:val="0"/>
          <w:sz w:val="26"/>
          <w:szCs w:val="26"/>
          <w:highlight w:val="none"/>
          <w:lang w:val="en-US" w:eastAsia="zh-CN" w:bidi="ar-SA"/>
        </w:rPr>
        <w:t xml:space="preserve">（提供专项承诺函） </w:t>
      </w:r>
    </w:p>
    <w:p w14:paraId="41FDFF4A">
      <w:pPr>
        <w:pStyle w:val="19"/>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right="0" w:firstLine="520" w:firstLineChars="200"/>
        <w:textAlignment w:val="auto"/>
        <w:rPr>
          <w:rFonts w:hint="default"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1. 全面安全责任</w:t>
      </w:r>
    </w:p>
    <w:p w14:paraId="5A09D272">
      <w:pPr>
        <w:pStyle w:val="19"/>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right="0" w:firstLine="520" w:firstLineChars="20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投标人作为本项目的安全责任主体，对项目实施全过程（包括制作、运输、安装、调试及质保期内的维修服务）中发生的所有安全事故承担全部责任。此责任范围包括但不限于：</w:t>
      </w:r>
    </w:p>
    <w:p w14:paraId="0547B9A9">
      <w:pPr>
        <w:pStyle w:val="19"/>
        <w:keepNext w:val="0"/>
        <w:keepLines w:val="0"/>
        <w:pageBreakBefore w:val="0"/>
        <w:widowControl/>
        <w:numPr>
          <w:ilvl w:val="0"/>
          <w:numId w:val="12"/>
        </w:numPr>
        <w:suppressLineNumbers w:val="0"/>
        <w:kinsoku/>
        <w:wordWrap/>
        <w:overflowPunct/>
        <w:topLinePunct w:val="0"/>
        <w:autoSpaceDE/>
        <w:autoSpaceDN/>
        <w:bidi w:val="0"/>
        <w:adjustRightInd w:val="0"/>
        <w:snapToGrid w:val="0"/>
        <w:spacing w:before="0" w:beforeAutospacing="0" w:after="0" w:afterAutospacing="0" w:line="480" w:lineRule="atLeast"/>
        <w:ind w:left="1085" w:leftChars="0" w:right="0" w:hanging="425" w:firstLineChars="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其自身雇员、分包商人员发生的人身伤亡事故；</w:t>
      </w:r>
    </w:p>
    <w:p w14:paraId="4B0F46F7">
      <w:pPr>
        <w:pStyle w:val="19"/>
        <w:keepNext w:val="0"/>
        <w:keepLines w:val="0"/>
        <w:pageBreakBefore w:val="0"/>
        <w:widowControl/>
        <w:numPr>
          <w:ilvl w:val="0"/>
          <w:numId w:val="12"/>
        </w:numPr>
        <w:suppressLineNumbers w:val="0"/>
        <w:kinsoku/>
        <w:wordWrap/>
        <w:overflowPunct/>
        <w:topLinePunct w:val="0"/>
        <w:autoSpaceDE/>
        <w:autoSpaceDN/>
        <w:bidi w:val="0"/>
        <w:adjustRightInd w:val="0"/>
        <w:snapToGrid w:val="0"/>
        <w:spacing w:before="0" w:beforeAutospacing="0" w:after="0" w:afterAutospacing="0" w:line="480" w:lineRule="atLeast"/>
        <w:ind w:left="1085" w:leftChars="0" w:right="0" w:hanging="425" w:firstLineChars="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在项目实施现场或相关区域发生的火灾、设备损坏等财产损失事故；</w:t>
      </w:r>
    </w:p>
    <w:p w14:paraId="019F7A2C">
      <w:pPr>
        <w:pStyle w:val="19"/>
        <w:keepNext w:val="0"/>
        <w:keepLines w:val="0"/>
        <w:pageBreakBefore w:val="0"/>
        <w:widowControl/>
        <w:numPr>
          <w:ilvl w:val="0"/>
          <w:numId w:val="12"/>
        </w:numPr>
        <w:suppressLineNumbers w:val="0"/>
        <w:kinsoku/>
        <w:wordWrap/>
        <w:overflowPunct/>
        <w:topLinePunct w:val="0"/>
        <w:autoSpaceDE/>
        <w:autoSpaceDN/>
        <w:bidi w:val="0"/>
        <w:adjustRightInd w:val="0"/>
        <w:snapToGrid w:val="0"/>
        <w:spacing w:before="0" w:beforeAutospacing="0" w:after="0" w:afterAutospacing="0" w:line="480" w:lineRule="atLeast"/>
        <w:ind w:left="1085" w:leftChars="0" w:right="0" w:hanging="425" w:firstLineChars="0"/>
        <w:textAlignment w:val="auto"/>
        <w:rPr>
          <w:rFonts w:hint="default"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因实施作业对招标人（含其职工）、访客或任何第三方造成的人身伤害或财产损失。</w:t>
      </w:r>
    </w:p>
    <w:p w14:paraId="16735F80">
      <w:pPr>
        <w:pStyle w:val="19"/>
        <w:keepNext w:val="0"/>
        <w:keepLines w:val="0"/>
        <w:pageBreakBefore w:val="0"/>
        <w:widowControl/>
        <w:numPr>
          <w:ilvl w:val="0"/>
          <w:numId w:val="12"/>
        </w:numPr>
        <w:suppressLineNumbers w:val="0"/>
        <w:kinsoku/>
        <w:wordWrap/>
        <w:overflowPunct/>
        <w:topLinePunct w:val="0"/>
        <w:autoSpaceDE/>
        <w:autoSpaceDN/>
        <w:bidi w:val="0"/>
        <w:adjustRightInd w:val="0"/>
        <w:snapToGrid w:val="0"/>
        <w:spacing w:before="0" w:beforeAutospacing="0" w:after="0" w:afterAutospacing="0" w:line="480" w:lineRule="atLeast"/>
        <w:ind w:left="1085" w:leftChars="0" w:right="0" w:hanging="425" w:firstLineChars="0"/>
        <w:textAlignment w:val="auto"/>
        <w:rPr>
          <w:rFonts w:hint="default"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施工现场脏、乱、差，不能满足安全和文明施工</w:t>
      </w:r>
    </w:p>
    <w:p w14:paraId="356EF375">
      <w:pPr>
        <w:pStyle w:val="1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atLeast"/>
        <w:ind w:right="0" w:rightChars="0" w:firstLine="520" w:firstLineChars="20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2</w:t>
      </w:r>
      <w:r>
        <w:rPr>
          <w:rFonts w:hint="default" w:ascii="宋体" w:hAnsi="宋体" w:eastAsia="宋体" w:cs="宋体"/>
          <w:color w:val="404040"/>
          <w:kern w:val="0"/>
          <w:sz w:val="26"/>
          <w:szCs w:val="26"/>
          <w:lang w:val="en-US" w:eastAsia="zh-CN" w:bidi="ar-SA"/>
        </w:rPr>
        <w:t>. 高标准安全措施与资质</w:t>
      </w:r>
    </w:p>
    <w:p w14:paraId="33DCF438">
      <w:pPr>
        <w:pStyle w:val="19"/>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right="0" w:rightChars="0" w:firstLine="520" w:firstLineChars="200"/>
        <w:textAlignment w:val="auto"/>
        <w:rPr>
          <w:rFonts w:hint="default"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鉴于本项目涉及超过100米的高空作业，技术复杂、风险极高，投标人必须：</w:t>
      </w:r>
    </w:p>
    <w:p w14:paraId="20ACB12D">
      <w:pPr>
        <w:pStyle w:val="19"/>
        <w:keepNext w:val="0"/>
        <w:keepLines w:val="0"/>
        <w:pageBreakBefore w:val="0"/>
        <w:widowControl/>
        <w:numPr>
          <w:ilvl w:val="0"/>
          <w:numId w:val="13"/>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1085" w:leftChars="0" w:right="0" w:rightChars="0" w:hanging="425" w:firstLineChars="0"/>
        <w:textAlignment w:val="auto"/>
        <w:rPr>
          <w:rFonts w:hint="eastAsia" w:ascii="宋体" w:hAnsi="宋体" w:eastAsia="宋体" w:cs="宋体"/>
          <w:color w:val="404040"/>
          <w:kern w:val="0"/>
          <w:sz w:val="26"/>
          <w:szCs w:val="26"/>
          <w:highlight w:val="none"/>
          <w:lang w:val="en-US" w:eastAsia="zh-CN" w:bidi="ar-SA"/>
        </w:rPr>
      </w:pPr>
      <w:r>
        <w:rPr>
          <w:rFonts w:hint="default" w:ascii="宋体" w:hAnsi="宋体" w:eastAsia="宋体" w:cs="宋体"/>
          <w:color w:val="404040"/>
          <w:kern w:val="0"/>
          <w:sz w:val="26"/>
          <w:szCs w:val="26"/>
          <w:lang w:val="en-US" w:eastAsia="zh-CN" w:bidi="ar-SA"/>
        </w:rPr>
        <w:t>委派具备相应专业技术资格、丰富高空作业经验的项目经理、安全员及施工团队。</w:t>
      </w:r>
      <w:r>
        <w:rPr>
          <w:rFonts w:hint="eastAsia" w:ascii="宋体" w:hAnsi="宋体" w:eastAsia="宋体" w:cs="宋体"/>
          <w:color w:val="404040"/>
          <w:kern w:val="0"/>
          <w:sz w:val="26"/>
          <w:szCs w:val="26"/>
          <w:highlight w:val="none"/>
          <w:lang w:val="en-US" w:eastAsia="zh-CN" w:bidi="ar-SA"/>
        </w:rPr>
        <w:t>人员要求：本项目须配置一名项目负责人，施工安装人员配置不低于一名具有熔化焊接与热切割作业操作证的人员、一名具有低压电工作业操作证的人员、至少三名具有高处安装作业操作证的人员。</w:t>
      </w:r>
    </w:p>
    <w:p w14:paraId="7E548AD8">
      <w:pPr>
        <w:pStyle w:val="19"/>
        <w:keepNext w:val="0"/>
        <w:keepLines w:val="0"/>
        <w:pageBreakBefore w:val="0"/>
        <w:widowControl/>
        <w:numPr>
          <w:ilvl w:val="0"/>
          <w:numId w:val="13"/>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1085" w:leftChars="0" w:right="0" w:rightChars="0" w:hanging="425" w:firstLineChars="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制定详尽的、针对本项目特点的专项施工方案和安全技术措施，并在施工前对全体人员进行充分交底、培训。</w:t>
      </w:r>
    </w:p>
    <w:p w14:paraId="392623F5">
      <w:pPr>
        <w:pStyle w:val="19"/>
        <w:keepNext w:val="0"/>
        <w:keepLines w:val="0"/>
        <w:pageBreakBefore w:val="0"/>
        <w:widowControl/>
        <w:numPr>
          <w:ilvl w:val="0"/>
          <w:numId w:val="13"/>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1085" w:leftChars="0" w:right="0" w:rightChars="0" w:hanging="425" w:firstLineChars="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严格遵守国家及地方所有关于安全生产、劳动保护、特种作业的法律法规及行业标准，保证其用工的合法性。成交供应商必须按国家有关规定，为施工人员购买人身保险，配备合格的劳动防护用品、安全用具。</w:t>
      </w:r>
    </w:p>
    <w:p w14:paraId="3D3C6B43">
      <w:pPr>
        <w:pStyle w:val="19"/>
        <w:keepNext w:val="0"/>
        <w:keepLines w:val="0"/>
        <w:pageBreakBefore w:val="0"/>
        <w:widowControl/>
        <w:numPr>
          <w:ilvl w:val="0"/>
          <w:numId w:val="13"/>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1085" w:leftChars="0" w:right="0" w:rightChars="0" w:hanging="425" w:firstLineChars="0"/>
        <w:textAlignment w:val="auto"/>
        <w:rPr>
          <w:rFonts w:hint="eastAsia"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保持作业现场整洁、有序，满足安全文明施工要求。</w:t>
      </w:r>
    </w:p>
    <w:p w14:paraId="53892E35">
      <w:pPr>
        <w:pStyle w:val="19"/>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0" w:right="0" w:firstLine="520" w:firstLineChars="20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3</w:t>
      </w:r>
      <w:r>
        <w:rPr>
          <w:rFonts w:hint="default" w:ascii="宋体" w:hAnsi="宋体" w:eastAsia="宋体" w:cs="宋体"/>
          <w:color w:val="404040"/>
          <w:kern w:val="0"/>
          <w:sz w:val="26"/>
          <w:szCs w:val="26"/>
          <w:lang w:val="en-US" w:eastAsia="zh-CN" w:bidi="ar-SA"/>
        </w:rPr>
        <w:t>. 产品本质安全</w:t>
      </w:r>
    </w:p>
    <w:p w14:paraId="32F9F922">
      <w:pPr>
        <w:pStyle w:val="19"/>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left="0" w:right="0" w:firstLine="520" w:firstLineChars="200"/>
        <w:textAlignment w:val="auto"/>
        <w:rPr>
          <w:rFonts w:hint="default" w:ascii="宋体" w:hAnsi="宋体" w:eastAsia="宋体" w:cs="宋体"/>
          <w:color w:val="404040"/>
          <w:kern w:val="0"/>
          <w:sz w:val="26"/>
          <w:szCs w:val="26"/>
          <w:lang w:val="en-US" w:eastAsia="zh-CN" w:bidi="ar-SA"/>
        </w:rPr>
      </w:pPr>
      <w:r>
        <w:rPr>
          <w:rFonts w:hint="default" w:ascii="宋体" w:hAnsi="宋体" w:eastAsia="宋体" w:cs="宋体"/>
          <w:color w:val="404040"/>
          <w:kern w:val="0"/>
          <w:sz w:val="26"/>
          <w:szCs w:val="26"/>
          <w:lang w:val="en-US" w:eastAsia="zh-CN" w:bidi="ar-SA"/>
        </w:rPr>
        <w:t>投标人须确保其提供的货物（发光字及相关系统）在正确安装和正常使用状态下，具备本质安全性，不会因其产品自身的设计、材料或制造缺陷，对任何人员或财产构成危害（如漏电、坠落、火灾等）。</w:t>
      </w:r>
    </w:p>
    <w:p w14:paraId="41176EE2">
      <w:pPr>
        <w:pStyle w:val="19"/>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right="0" w:rightChars="0" w:firstLine="520" w:firstLineChars="20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4</w:t>
      </w:r>
      <w:r>
        <w:rPr>
          <w:rFonts w:hint="default" w:ascii="宋体" w:hAnsi="宋体" w:eastAsia="宋体" w:cs="宋体"/>
          <w:color w:val="404040"/>
          <w:kern w:val="0"/>
          <w:sz w:val="26"/>
          <w:szCs w:val="26"/>
          <w:lang w:val="en-US" w:eastAsia="zh-CN" w:bidi="ar-SA"/>
        </w:rPr>
        <w:t>. 违约责任与费用承担</w:t>
      </w:r>
    </w:p>
    <w:p w14:paraId="6ADD1CFB">
      <w:pPr>
        <w:pStyle w:val="19"/>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480" w:lineRule="atLeast"/>
        <w:ind w:right="0" w:rightChars="0" w:firstLine="520" w:firstLineChars="200"/>
        <w:textAlignment w:val="auto"/>
        <w:rPr>
          <w:rFonts w:hint="eastAsia" w:ascii="宋体" w:hAnsi="宋体" w:cs="宋体"/>
          <w:kern w:val="0"/>
          <w:sz w:val="24"/>
          <w:szCs w:val="24"/>
          <w:lang w:val="en-US" w:eastAsia="zh-CN"/>
        </w:rPr>
      </w:pPr>
      <w:r>
        <w:rPr>
          <w:rFonts w:hint="default" w:ascii="宋体" w:hAnsi="宋体" w:eastAsia="宋体" w:cs="宋体"/>
          <w:color w:val="404040"/>
          <w:kern w:val="0"/>
          <w:sz w:val="26"/>
          <w:szCs w:val="26"/>
          <w:lang w:val="en-US" w:eastAsia="zh-CN" w:bidi="ar-SA"/>
        </w:rPr>
        <w:t>凡因投标人安全措施不当、管理失职、违章作业、产品缺陷或保险覆盖不足等原因引发的任何事故、纠纷、索赔及行政处罚，所产生的一切直接与间接经济损失、赔偿金、罚款及法律费用，均由投标人无条件承担。此责任不因项目竣工验收而免除。</w:t>
      </w:r>
    </w:p>
    <w:p w14:paraId="5164C763">
      <w:pPr>
        <w:pStyle w:val="47"/>
        <w:keepNext w:val="0"/>
        <w:keepLines w:val="0"/>
        <w:pageBreakBefore w:val="0"/>
        <w:widowControl/>
        <w:numPr>
          <w:ilvl w:val="0"/>
          <w:numId w:val="10"/>
        </w:numPr>
        <w:tabs>
          <w:tab w:val="left" w:pos="951"/>
        </w:tabs>
        <w:kinsoku/>
        <w:wordWrap/>
        <w:overflowPunct/>
        <w:topLinePunct w:val="0"/>
        <w:autoSpaceDE/>
        <w:autoSpaceDN/>
        <w:bidi w:val="0"/>
        <w:spacing w:line="480" w:lineRule="atLeast"/>
        <w:ind w:left="0" w:leftChars="0" w:firstLine="420" w:firstLineChars="0"/>
        <w:textAlignment w:val="auto"/>
        <w:rPr>
          <w:rFonts w:hint="eastAsia" w:ascii="宋体" w:hAnsi="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售后服务要求</w:t>
      </w:r>
      <w:r>
        <w:rPr>
          <w:rFonts w:hint="eastAsia" w:ascii="宋体" w:hAnsi="宋体" w:cs="宋体"/>
          <w:color w:val="404040"/>
          <w:kern w:val="0"/>
          <w:sz w:val="26"/>
          <w:szCs w:val="26"/>
          <w:highlight w:val="none"/>
          <w:lang w:val="en-US" w:eastAsia="zh-CN" w:bidi="ar-SA"/>
        </w:rPr>
        <w:t>（提供专项承诺函）</w:t>
      </w:r>
    </w:p>
    <w:p w14:paraId="4286BAFB">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 xml:space="preserve">1.中标方应对所供货物提供至少3年的(现场)免费保修。保修期内，非因操作不当造成要更换的零配件及货物由中标方负责包修/包换，且不另收额外的人工安装等费用。                                                </w:t>
      </w:r>
    </w:p>
    <w:p w14:paraId="594C8AA9">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2.质保期结束后，中标方仍应对货物提供终身维修服务，</w:t>
      </w:r>
      <w:r>
        <w:rPr>
          <w:rFonts w:hint="eastAsia" w:ascii="宋体" w:hAnsi="宋体" w:eastAsia="宋体" w:cs="宋体"/>
          <w:color w:val="404040"/>
          <w:kern w:val="0"/>
          <w:sz w:val="26"/>
          <w:szCs w:val="26"/>
          <w:highlight w:val="none"/>
          <w:lang w:val="en-US" w:eastAsia="zh-CN" w:bidi="ar-SA"/>
        </w:rPr>
        <w:t xml:space="preserve">中标方有责任自行维护或在客户所在地指定有能力的代理人对货物在必要时进行定期维护和修理，供应商承诺的免费维保期满后进行维护的可酌情收取材料成本费和适当的维修费。                </w:t>
      </w:r>
      <w:r>
        <w:rPr>
          <w:rFonts w:hint="eastAsia" w:ascii="宋体" w:hAnsi="宋体" w:eastAsia="宋体" w:cs="宋体"/>
          <w:color w:val="404040"/>
          <w:kern w:val="0"/>
          <w:sz w:val="26"/>
          <w:szCs w:val="26"/>
          <w:lang w:val="en-US" w:eastAsia="zh-CN" w:bidi="ar-SA"/>
        </w:rPr>
        <w:t xml:space="preserve">                       </w:t>
      </w:r>
    </w:p>
    <w:p w14:paraId="2CB68DB7">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3.维修服务的响应时间在质量保证期间，本次采购的货物发生故障，所有产品必须保证365天×24小时故障维护，故障响应时间小于4小时。并在响应时间内到达现场进行免费维修服务，24小时内排除故障。逾期采购人有权另请他人维修，费用由中标人承担;若无法排除故障的，中标人应在24小时内提供同类型备用货物供采购人正常工作。</w:t>
      </w:r>
    </w:p>
    <w:p w14:paraId="0591CC45">
      <w:pPr>
        <w:pStyle w:val="47"/>
        <w:keepNext w:val="0"/>
        <w:keepLines w:val="0"/>
        <w:pageBreakBefore w:val="0"/>
        <w:widowControl/>
        <w:numPr>
          <w:ilvl w:val="0"/>
          <w:numId w:val="10"/>
        </w:numPr>
        <w:tabs>
          <w:tab w:val="left" w:pos="951"/>
        </w:tabs>
        <w:kinsoku/>
        <w:wordWrap/>
        <w:overflowPunct/>
        <w:topLinePunct w:val="0"/>
        <w:autoSpaceDE/>
        <w:autoSpaceDN/>
        <w:bidi w:val="0"/>
        <w:spacing w:line="480" w:lineRule="atLeast"/>
        <w:ind w:left="0" w:leftChars="0" w:firstLine="420" w:firstLineChars="0"/>
        <w:textAlignment w:val="auto"/>
        <w:rPr>
          <w:rFonts w:hint="eastAsia" w:ascii="宋体" w:hAnsi="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 xml:space="preserve">其他要求 </w:t>
      </w:r>
    </w:p>
    <w:p w14:paraId="083FAF95">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1.发光字安装不能影响医院正常运营，具体安装时间需要配合院方进行。发光字安装不得改变原有建筑物土建结构，自行配备施工所需的一切设备和工具，所有字体安装施工必须符合国家规范要求</w:t>
      </w:r>
    </w:p>
    <w:p w14:paraId="392A47BD">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 xml:space="preserve">2.本项目涉及到部分拆除工程，拆除过程中产生的建渣均由供应商清运，采购人提供指定堆场，建渣堆放时间不超过3天。 </w:t>
      </w:r>
    </w:p>
    <w:p w14:paraId="37ED9DC5">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highlight w:val="none"/>
          <w:lang w:val="en-US" w:eastAsia="zh-CN" w:bidi="ar-SA"/>
        </w:rPr>
        <w:t xml:space="preserve">3.成果要求：供应商提供完整的最终设计方案、效果图、设计文件源文件（可编辑文件）、制作清单电子文档1份，纸质文档2份。              </w:t>
      </w:r>
      <w:r>
        <w:rPr>
          <w:rFonts w:hint="eastAsia" w:ascii="宋体" w:hAnsi="宋体" w:eastAsia="宋体" w:cs="宋体"/>
          <w:color w:val="404040"/>
          <w:kern w:val="0"/>
          <w:sz w:val="26"/>
          <w:szCs w:val="26"/>
          <w:lang w:val="en-US" w:eastAsia="zh-CN" w:bidi="ar-SA"/>
        </w:rPr>
        <w:t xml:space="preserve">                                                             </w:t>
      </w:r>
    </w:p>
    <w:p w14:paraId="2EAF4740">
      <w:pPr>
        <w:keepNext w:val="0"/>
        <w:keepLines w:val="0"/>
        <w:pageBreakBefore w:val="0"/>
        <w:widowControl/>
        <w:kinsoku/>
        <w:wordWrap/>
        <w:overflowPunct/>
        <w:topLinePunct w:val="0"/>
        <w:autoSpaceDE/>
        <w:autoSpaceDN/>
        <w:bidi w:val="0"/>
        <w:adjustRightInd w:val="0"/>
        <w:snapToGrid w:val="0"/>
        <w:spacing w:after="0"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4.除商务和技术、服务要求外，供应商还应当为落实本项目提供相应的项目设计方案、项目实施方案、售后服务方案</w:t>
      </w:r>
    </w:p>
    <w:p w14:paraId="2169D49E">
      <w:pPr>
        <w:pStyle w:val="47"/>
        <w:keepNext w:val="0"/>
        <w:keepLines w:val="0"/>
        <w:pageBreakBefore w:val="0"/>
        <w:widowControl/>
        <w:numPr>
          <w:ilvl w:val="0"/>
          <w:numId w:val="10"/>
        </w:numPr>
        <w:tabs>
          <w:tab w:val="left" w:pos="951"/>
        </w:tabs>
        <w:kinsoku/>
        <w:wordWrap/>
        <w:overflowPunct/>
        <w:topLinePunct w:val="0"/>
        <w:autoSpaceDE/>
        <w:autoSpaceDN/>
        <w:bidi w:val="0"/>
        <w:spacing w:line="480" w:lineRule="atLeast"/>
        <w:ind w:left="0" w:leftChars="0" w:firstLine="420" w:firstLineChars="0"/>
        <w:textAlignment w:val="auto"/>
        <w:rPr>
          <w:rFonts w:hint="eastAsia" w:ascii="宋体" w:hAnsi="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违约责任</w:t>
      </w:r>
    </w:p>
    <w:p w14:paraId="30426D0B">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cs="宋体"/>
          <w:color w:val="404040"/>
          <w:kern w:val="0"/>
          <w:sz w:val="26"/>
          <w:szCs w:val="26"/>
          <w:lang w:val="en-US" w:eastAsia="zh-CN" w:bidi="ar-SA"/>
        </w:rPr>
        <w:t>1</w:t>
      </w:r>
      <w:r>
        <w:rPr>
          <w:rFonts w:hint="eastAsia" w:ascii="宋体" w:hAnsi="宋体" w:eastAsia="宋体" w:cs="宋体"/>
          <w:color w:val="404040"/>
          <w:kern w:val="0"/>
          <w:sz w:val="26"/>
          <w:szCs w:val="26"/>
          <w:lang w:val="en-US" w:eastAsia="zh-CN" w:bidi="ar-SA"/>
        </w:rPr>
        <w:t>. 因成交人原因造成采购合同无法按时签订，视为成交人违约，采购人有权按照合同总金额</w:t>
      </w:r>
      <w:r>
        <w:rPr>
          <w:rFonts w:hint="eastAsia" w:ascii="宋体" w:hAnsi="宋体" w:eastAsia="宋体" w:cs="宋体"/>
          <w:color w:val="404040"/>
          <w:kern w:val="0"/>
          <w:sz w:val="26"/>
          <w:szCs w:val="26"/>
          <w:highlight w:val="none"/>
          <w:lang w:val="en-US" w:eastAsia="zh-CN" w:bidi="ar-SA"/>
        </w:rPr>
        <w:t>的10%要求</w:t>
      </w:r>
      <w:r>
        <w:rPr>
          <w:rFonts w:hint="eastAsia" w:ascii="宋体" w:hAnsi="宋体" w:eastAsia="宋体" w:cs="宋体"/>
          <w:color w:val="404040"/>
          <w:kern w:val="0"/>
          <w:sz w:val="26"/>
          <w:szCs w:val="26"/>
          <w:lang w:val="en-US" w:eastAsia="zh-CN" w:bidi="ar-SA"/>
        </w:rPr>
        <w:t>成交人承担违约责任。在签定采购合同之后，成交人要求解除合同的，视为成交人违约，采购人有权按照合同总金额的10%要求成交人承担违约责任。</w:t>
      </w:r>
    </w:p>
    <w:p w14:paraId="5CA9E75B">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default"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2. 因成交人原因发生重大质量事故，除依约承担赔偿责任外，还将按有关质量管理办法规定执行。同时，采购人有权保留更换成交人的权利，并报相关行政主管部门处罚。</w:t>
      </w:r>
    </w:p>
    <w:p w14:paraId="16A0E06F">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3</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成交人还应承担赔偿责任。</w:t>
      </w:r>
    </w:p>
    <w:p w14:paraId="6A2A1FD1">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4</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在明确违约责任后，成交人应在接到书面通知书起七天内支付违约金、赔偿金等。</w:t>
      </w:r>
    </w:p>
    <w:p w14:paraId="4CFA806B">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5</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总工期每延误一天，成交人应向采购人支付500元人民币的违约金，由采购人直接从工程款中扣抵；逾期违约金的限额:合同价款的10％；逾期超过30天且未经采购人书面同意的，采购人有权解除合同，由此产生的责任全部由成交人负责，造成的损失采购人有权向成交人收取赔偿。</w:t>
      </w:r>
    </w:p>
    <w:p w14:paraId="30EBB71B">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6</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如果成交人未能按照合同约定履行免费维修义务的（不可抗力除外）或者未按承诺的时间上门抢修维护，每次应向采购人支付违约金2000元。</w:t>
      </w:r>
    </w:p>
    <w:p w14:paraId="033498AB">
      <w:pPr>
        <w:pStyle w:val="47"/>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7</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合同执行期间，中标供应商不允许以任何名义和理由全部转包或部分分包，如有发现，视为成交人违约，采购人有权单方面解除合同，并按照合同总金额的10%要求乙方承担违约责任。</w:t>
      </w:r>
    </w:p>
    <w:p w14:paraId="7994B512">
      <w:pPr>
        <w:pStyle w:val="47"/>
        <w:keepNext w:val="0"/>
        <w:keepLines w:val="0"/>
        <w:pageBreakBefore w:val="0"/>
        <w:widowControl/>
        <w:kinsoku/>
        <w:wordWrap/>
        <w:overflowPunct/>
        <w:topLinePunct w:val="0"/>
        <w:autoSpaceDE/>
        <w:autoSpaceDN/>
        <w:bidi w:val="0"/>
        <w:adjustRightInd/>
        <w:snapToGrid/>
        <w:spacing w:line="480" w:lineRule="atLeast"/>
        <w:ind w:firstLine="520" w:firstLineChars="200"/>
        <w:textAlignment w:val="auto"/>
        <w:rPr>
          <w:rFonts w:hint="eastAsia" w:ascii="宋体" w:hAnsi="宋体" w:eastAsia="宋体" w:cs="宋体"/>
          <w:color w:val="404040"/>
          <w:kern w:val="0"/>
          <w:sz w:val="26"/>
          <w:szCs w:val="26"/>
          <w:lang w:val="en-US" w:eastAsia="zh-CN" w:bidi="ar-SA"/>
        </w:rPr>
      </w:pPr>
      <w:r>
        <w:rPr>
          <w:rFonts w:hint="eastAsia" w:ascii="宋体" w:hAnsi="宋体" w:eastAsia="宋体" w:cs="宋体"/>
          <w:color w:val="404040"/>
          <w:kern w:val="0"/>
          <w:sz w:val="26"/>
          <w:szCs w:val="26"/>
          <w:lang w:val="en-US" w:eastAsia="zh-CN" w:bidi="ar-SA"/>
        </w:rPr>
        <w:t>8</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如成交后提供的产品与招标要求不符，采购人将拒绝验收，由此带来的一切损失将由成交人负责。</w:t>
      </w:r>
    </w:p>
    <w:p w14:paraId="5B3E3FFB">
      <w:pPr>
        <w:pStyle w:val="47"/>
        <w:keepNext w:val="0"/>
        <w:keepLines w:val="0"/>
        <w:pageBreakBefore w:val="0"/>
        <w:widowControl/>
        <w:kinsoku/>
        <w:wordWrap/>
        <w:overflowPunct/>
        <w:topLinePunct w:val="0"/>
        <w:autoSpaceDE/>
        <w:autoSpaceDN/>
        <w:bidi w:val="0"/>
        <w:adjustRightInd/>
        <w:snapToGrid/>
        <w:spacing w:line="480" w:lineRule="atLeast"/>
        <w:ind w:firstLine="520" w:firstLineChars="200"/>
        <w:textAlignment w:val="auto"/>
        <w:rPr>
          <w:rFonts w:hint="default" w:ascii="宋体" w:hAnsi="宋体" w:eastAsia="宋体" w:cs="宋体"/>
          <w:color w:val="404040"/>
          <w:kern w:val="0"/>
          <w:sz w:val="26"/>
          <w:szCs w:val="26"/>
          <w:lang w:val="en-US" w:eastAsia="zh-CN" w:bidi="ar-SA"/>
        </w:rPr>
        <w:sectPr>
          <w:pgSz w:w="11906" w:h="16838"/>
          <w:pgMar w:top="1134" w:right="850" w:bottom="1134" w:left="850" w:header="851" w:footer="992" w:gutter="0"/>
          <w:cols w:space="0" w:num="1"/>
          <w:rtlGutter w:val="0"/>
          <w:docGrid w:type="lines" w:linePitch="312" w:charSpace="0"/>
        </w:sectPr>
      </w:pPr>
      <w:r>
        <w:rPr>
          <w:rFonts w:hint="eastAsia" w:ascii="宋体" w:hAnsi="宋体" w:eastAsia="宋体" w:cs="宋体"/>
          <w:color w:val="404040"/>
          <w:kern w:val="0"/>
          <w:sz w:val="26"/>
          <w:szCs w:val="26"/>
          <w:lang w:val="en-US" w:eastAsia="zh-CN" w:bidi="ar-SA"/>
        </w:rPr>
        <w:t>9</w:t>
      </w:r>
      <w:r>
        <w:rPr>
          <w:rFonts w:hint="eastAsia" w:ascii="宋体" w:hAnsi="宋体" w:cs="宋体"/>
          <w:color w:val="404040"/>
          <w:kern w:val="0"/>
          <w:sz w:val="26"/>
          <w:szCs w:val="26"/>
          <w:lang w:val="en-US" w:eastAsia="zh-CN" w:bidi="ar-SA"/>
        </w:rPr>
        <w:t xml:space="preserve">. </w:t>
      </w:r>
      <w:r>
        <w:rPr>
          <w:rFonts w:hint="eastAsia" w:ascii="宋体" w:hAnsi="宋体" w:eastAsia="宋体" w:cs="宋体"/>
          <w:color w:val="404040"/>
          <w:kern w:val="0"/>
          <w:sz w:val="26"/>
          <w:szCs w:val="26"/>
          <w:lang w:val="en-US" w:eastAsia="zh-CN" w:bidi="ar-SA"/>
        </w:rPr>
        <w:t>若成交人动火作业前未向我院保卫科进行申报，或动火作业时未遵守“六个必须”，采购人有权按每次5000元的标准向乙方收取违约金</w:t>
      </w:r>
    </w:p>
    <w:p w14:paraId="43A815D6">
      <w:pPr>
        <w:pStyle w:val="11"/>
        <w:ind w:firstLine="0"/>
        <w:jc w:val="both"/>
        <w:rPr>
          <w:rFonts w:hint="eastAsia"/>
          <w:b/>
          <w:sz w:val="28"/>
          <w:szCs w:val="28"/>
        </w:rPr>
      </w:pPr>
    </w:p>
    <w:p w14:paraId="599B368F">
      <w:pPr>
        <w:pStyle w:val="11"/>
        <w:ind w:firstLine="0"/>
        <w:jc w:val="center"/>
      </w:pPr>
      <w:r>
        <w:rPr>
          <w:rFonts w:hint="eastAsia"/>
          <w:b/>
          <w:sz w:val="28"/>
          <w:szCs w:val="28"/>
        </w:rPr>
        <w:t>一、投标书</w:t>
      </w:r>
    </w:p>
    <w:p w14:paraId="12DEB983">
      <w:pPr>
        <w:rPr>
          <w:rFonts w:ascii="仿宋_GB2312" w:eastAsia="仿宋_GB2312"/>
          <w:sz w:val="28"/>
          <w:szCs w:val="28"/>
        </w:rPr>
      </w:pPr>
      <w:r>
        <w:rPr>
          <w:rFonts w:hint="eastAsia" w:ascii="仿宋_GB2312" w:eastAsia="仿宋_GB2312"/>
          <w:sz w:val="28"/>
          <w:szCs w:val="28"/>
        </w:rPr>
        <w:t>致：福建省肿瘤医院</w:t>
      </w:r>
    </w:p>
    <w:p w14:paraId="3D3876B5">
      <w:pPr>
        <w:rPr>
          <w:rFonts w:ascii="仿宋_GB2312" w:eastAsia="仿宋_GB2312"/>
          <w:sz w:val="28"/>
          <w:szCs w:val="28"/>
        </w:rPr>
      </w:pPr>
      <w:r>
        <w:rPr>
          <w:rFonts w:hint="eastAsia" w:ascii="仿宋_GB2312" w:eastAsia="仿宋_GB2312"/>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eastAsia="仿宋_GB2312"/>
          <w:b/>
          <w:sz w:val="28"/>
          <w:szCs w:val="28"/>
          <w:u w:val="single"/>
        </w:rPr>
        <w:t xml:space="preserve">：      </w:t>
      </w:r>
      <w:r>
        <w:rPr>
          <w:rFonts w:hint="eastAsia" w:ascii="仿宋_GB2312" w:eastAsia="仿宋_GB2312"/>
          <w:sz w:val="28"/>
          <w:szCs w:val="28"/>
          <w:u w:val="single"/>
        </w:rPr>
        <w:t xml:space="preserve">  （小写：           ）</w:t>
      </w:r>
      <w:r>
        <w:rPr>
          <w:rFonts w:hint="eastAsia" w:ascii="仿宋_GB2312" w:eastAsia="仿宋_GB2312"/>
          <w:sz w:val="28"/>
          <w:szCs w:val="28"/>
        </w:rPr>
        <w:t>的投标报价并按上述条款、标准要求承包上述项目，并承担任何质量缺陷保修责任。</w:t>
      </w:r>
    </w:p>
    <w:p w14:paraId="6C0CD708">
      <w:pPr>
        <w:ind w:firstLine="532" w:firstLineChars="190"/>
        <w:rPr>
          <w:rFonts w:ascii="仿宋_GB2312" w:eastAsia="仿宋_GB2312"/>
          <w:sz w:val="28"/>
          <w:szCs w:val="28"/>
        </w:rPr>
      </w:pPr>
      <w:r>
        <w:rPr>
          <w:rFonts w:hint="eastAsia" w:ascii="仿宋_GB2312" w:eastAsia="仿宋_GB2312"/>
          <w:sz w:val="28"/>
          <w:szCs w:val="28"/>
        </w:rPr>
        <w:t>2、我方已详细审核全部招标文件及有关附件。</w:t>
      </w:r>
    </w:p>
    <w:p w14:paraId="2E606C00">
      <w:pPr>
        <w:ind w:firstLine="532" w:firstLineChars="190"/>
        <w:rPr>
          <w:rFonts w:ascii="仿宋_GB2312" w:eastAsia="仿宋_GB2312"/>
          <w:sz w:val="28"/>
          <w:szCs w:val="28"/>
        </w:rPr>
      </w:pPr>
      <w:r>
        <w:rPr>
          <w:rFonts w:hint="eastAsia" w:ascii="仿宋_GB2312" w:eastAsia="仿宋_GB2312"/>
          <w:sz w:val="28"/>
          <w:szCs w:val="28"/>
        </w:rPr>
        <w:t>3、一旦我方中标，我方保证质量达到</w:t>
      </w:r>
      <w:r>
        <w:rPr>
          <w:rFonts w:hint="eastAsia" w:ascii="仿宋_GB2312" w:eastAsia="仿宋_GB2312"/>
          <w:b/>
          <w:sz w:val="28"/>
          <w:szCs w:val="28"/>
          <w:u w:val="single"/>
        </w:rPr>
        <w:t>投标须知、投标文件等规定</w:t>
      </w:r>
      <w:r>
        <w:rPr>
          <w:rFonts w:hint="eastAsia" w:ascii="仿宋_GB2312" w:eastAsia="仿宋_GB2312"/>
          <w:sz w:val="28"/>
          <w:szCs w:val="28"/>
        </w:rPr>
        <w:t>标准。</w:t>
      </w:r>
    </w:p>
    <w:p w14:paraId="0566D7B7">
      <w:pPr>
        <w:ind w:firstLine="532" w:firstLineChars="190"/>
        <w:rPr>
          <w:rFonts w:ascii="仿宋_GB2312" w:eastAsia="仿宋_GB2312"/>
          <w:sz w:val="28"/>
          <w:szCs w:val="28"/>
        </w:rPr>
      </w:pPr>
      <w:r>
        <w:rPr>
          <w:rFonts w:hint="eastAsia" w:ascii="仿宋_GB2312" w:eastAsia="仿宋_GB2312"/>
          <w:sz w:val="28"/>
          <w:szCs w:val="28"/>
        </w:rPr>
        <w:t>4、我方同意所提交的投标文件在招标文件的投标须知中规定的投标有效期内有效，在此期间内如果中标，我方将受此约束。</w:t>
      </w:r>
    </w:p>
    <w:p w14:paraId="6A300386">
      <w:pPr>
        <w:ind w:firstLine="426"/>
        <w:rPr>
          <w:rFonts w:ascii="仿宋_GB2312" w:eastAsia="仿宋_GB2312"/>
          <w:sz w:val="28"/>
          <w:szCs w:val="28"/>
        </w:rPr>
      </w:pPr>
      <w:r>
        <w:rPr>
          <w:rFonts w:hint="eastAsia" w:ascii="仿宋_GB2312" w:eastAsia="仿宋_GB2312"/>
          <w:sz w:val="28"/>
          <w:szCs w:val="28"/>
        </w:rPr>
        <w:t>5、除非另外达成协议并生效，你方的中标通知书和本投标文件将成为约束双方的合同文件的组成部分。</w:t>
      </w:r>
    </w:p>
    <w:p w14:paraId="0FF6385F">
      <w:pPr>
        <w:ind w:firstLine="560" w:firstLineChars="200"/>
        <w:rPr>
          <w:rFonts w:ascii="仿宋_GB2312" w:eastAsia="仿宋_GB2312"/>
          <w:sz w:val="28"/>
          <w:szCs w:val="28"/>
        </w:rPr>
      </w:pPr>
      <w:r>
        <w:rPr>
          <w:rFonts w:hint="eastAsia" w:ascii="仿宋_GB2312" w:eastAsia="仿宋_GB2312"/>
          <w:sz w:val="28"/>
          <w:szCs w:val="28"/>
        </w:rPr>
        <w:t>附件：报价清单</w:t>
      </w:r>
    </w:p>
    <w:p w14:paraId="2ED56127">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投标人（盖章）： </w:t>
      </w:r>
    </w:p>
    <w:p w14:paraId="235074F6">
      <w:pPr>
        <w:spacing w:line="360" w:lineRule="exact"/>
        <w:rPr>
          <w:rFonts w:ascii="仿宋_GB2312" w:eastAsia="仿宋_GB2312"/>
          <w:sz w:val="28"/>
          <w:szCs w:val="28"/>
        </w:rPr>
      </w:pPr>
    </w:p>
    <w:p w14:paraId="45BB8924">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单位地址： </w:t>
      </w:r>
    </w:p>
    <w:p w14:paraId="48F5A7EB">
      <w:pPr>
        <w:spacing w:line="360" w:lineRule="exact"/>
        <w:rPr>
          <w:rFonts w:ascii="仿宋_GB2312" w:eastAsia="仿宋_GB2312"/>
          <w:sz w:val="28"/>
          <w:szCs w:val="28"/>
        </w:rPr>
      </w:pPr>
    </w:p>
    <w:p w14:paraId="75ADA54B">
      <w:pPr>
        <w:spacing w:line="360" w:lineRule="exact"/>
        <w:ind w:firstLine="3220" w:firstLineChars="1150"/>
        <w:rPr>
          <w:rFonts w:ascii="仿宋_GB2312" w:eastAsia="仿宋_GB2312"/>
          <w:sz w:val="28"/>
          <w:szCs w:val="28"/>
        </w:rPr>
      </w:pPr>
      <w:r>
        <w:rPr>
          <w:rFonts w:hint="eastAsia" w:ascii="仿宋_GB2312" w:eastAsia="仿宋_GB2312"/>
          <w:sz w:val="28"/>
          <w:szCs w:val="28"/>
        </w:rPr>
        <w:t>法定代表人（签字或盖章）：</w:t>
      </w:r>
    </w:p>
    <w:p w14:paraId="120F096C">
      <w:pPr>
        <w:spacing w:line="360" w:lineRule="exact"/>
        <w:rPr>
          <w:rFonts w:ascii="仿宋_GB2312" w:eastAsia="仿宋_GB2312"/>
          <w:sz w:val="28"/>
          <w:szCs w:val="28"/>
        </w:rPr>
      </w:pPr>
    </w:p>
    <w:p w14:paraId="4E89A71F">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邮政编码：         </w:t>
      </w:r>
    </w:p>
    <w:p w14:paraId="733AD6A8">
      <w:pPr>
        <w:spacing w:line="360" w:lineRule="exact"/>
        <w:ind w:firstLine="3220" w:firstLineChars="1150"/>
        <w:rPr>
          <w:rFonts w:ascii="仿宋_GB2312" w:eastAsia="仿宋_GB2312"/>
          <w:sz w:val="28"/>
          <w:szCs w:val="28"/>
        </w:rPr>
      </w:pPr>
    </w:p>
    <w:p w14:paraId="56E80004">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电话：       </w:t>
      </w:r>
    </w:p>
    <w:p w14:paraId="3F595195">
      <w:pPr>
        <w:spacing w:line="360" w:lineRule="exact"/>
        <w:ind w:firstLine="3220" w:firstLineChars="1150"/>
        <w:rPr>
          <w:rFonts w:ascii="仿宋_GB2312" w:eastAsia="仿宋_GB2312"/>
          <w:sz w:val="28"/>
          <w:szCs w:val="28"/>
        </w:rPr>
      </w:pPr>
    </w:p>
    <w:p w14:paraId="0BC6FDA9">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传真：  </w:t>
      </w:r>
    </w:p>
    <w:p w14:paraId="780C87AF">
      <w:pPr>
        <w:spacing w:line="360" w:lineRule="exact"/>
        <w:rPr>
          <w:rFonts w:ascii="仿宋_GB2312" w:eastAsia="仿宋_GB2312"/>
          <w:sz w:val="28"/>
          <w:szCs w:val="28"/>
        </w:rPr>
      </w:pPr>
    </w:p>
    <w:p w14:paraId="57E47FC1">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开户银行名称： </w:t>
      </w:r>
    </w:p>
    <w:p w14:paraId="044BAADD">
      <w:pPr>
        <w:spacing w:line="360" w:lineRule="exact"/>
        <w:rPr>
          <w:rFonts w:ascii="仿宋_GB2312" w:eastAsia="仿宋_GB2312"/>
          <w:sz w:val="28"/>
          <w:szCs w:val="28"/>
        </w:rPr>
      </w:pPr>
    </w:p>
    <w:p w14:paraId="61EA8A55">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开户银行帐号： </w:t>
      </w:r>
    </w:p>
    <w:p w14:paraId="0827E3F0">
      <w:pPr>
        <w:spacing w:line="360" w:lineRule="exact"/>
        <w:rPr>
          <w:rFonts w:ascii="仿宋_GB2312" w:eastAsia="仿宋_GB2312"/>
          <w:sz w:val="28"/>
          <w:szCs w:val="28"/>
        </w:rPr>
      </w:pPr>
    </w:p>
    <w:p w14:paraId="1BE3FB2A">
      <w:pPr>
        <w:spacing w:line="360" w:lineRule="exact"/>
        <w:jc w:val="center"/>
        <w:rPr>
          <w:rFonts w:ascii="仿宋_GB2312" w:eastAsia="仿宋_GB2312"/>
          <w:sz w:val="28"/>
          <w:szCs w:val="28"/>
        </w:rPr>
      </w:pPr>
      <w:r>
        <w:rPr>
          <w:rFonts w:hint="eastAsia" w:ascii="仿宋_GB2312" w:eastAsia="仿宋_GB2312"/>
          <w:sz w:val="28"/>
          <w:szCs w:val="28"/>
        </w:rPr>
        <w:t>开户银行地址：</w:t>
      </w:r>
    </w:p>
    <w:p w14:paraId="5F5D7754">
      <w:pPr>
        <w:spacing w:line="360" w:lineRule="exact"/>
        <w:rPr>
          <w:rFonts w:ascii="仿宋_GB2312" w:eastAsia="仿宋_GB2312"/>
          <w:sz w:val="28"/>
          <w:szCs w:val="28"/>
        </w:rPr>
      </w:pPr>
    </w:p>
    <w:p w14:paraId="1134FCBC">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开户银行电话： </w:t>
      </w:r>
    </w:p>
    <w:p w14:paraId="04A5E92A">
      <w:pPr>
        <w:spacing w:line="360" w:lineRule="exact"/>
        <w:ind w:firstLine="600"/>
        <w:rPr>
          <w:rFonts w:ascii="仿宋_GB2312" w:eastAsia="仿宋_GB2312"/>
          <w:sz w:val="28"/>
          <w:szCs w:val="28"/>
        </w:rPr>
      </w:pPr>
    </w:p>
    <w:p w14:paraId="0385D79A">
      <w:pPr>
        <w:spacing w:line="360" w:lineRule="exact"/>
        <w:jc w:val="right"/>
        <w:rPr>
          <w:rFonts w:ascii="仿宋_GB2312" w:eastAsia="仿宋_GB2312"/>
          <w:sz w:val="28"/>
          <w:szCs w:val="28"/>
        </w:rPr>
      </w:pPr>
      <w:r>
        <w:rPr>
          <w:rFonts w:hint="eastAsia" w:ascii="仿宋_GB2312" w:eastAsia="仿宋_GB2312"/>
          <w:sz w:val="28"/>
          <w:szCs w:val="28"/>
        </w:rPr>
        <w:t>日期：   年   月    日</w:t>
      </w:r>
    </w:p>
    <w:p w14:paraId="0A938905">
      <w:pPr>
        <w:rPr>
          <w:rFonts w:ascii="仿宋_GB2312" w:eastAsia="仿宋_GB2312"/>
          <w:sz w:val="28"/>
          <w:szCs w:val="28"/>
        </w:rPr>
      </w:pPr>
    </w:p>
    <w:p w14:paraId="26DD182C">
      <w:pPr>
        <w:rPr>
          <w:rFonts w:ascii="仿宋_GB2312" w:eastAsia="仿宋_GB2312"/>
          <w:sz w:val="28"/>
          <w:szCs w:val="28"/>
        </w:rPr>
      </w:pPr>
      <w:r>
        <w:rPr>
          <w:rFonts w:hint="eastAsia" w:ascii="仿宋_GB2312" w:eastAsia="仿宋_GB2312"/>
          <w:sz w:val="28"/>
          <w:szCs w:val="28"/>
        </w:rPr>
        <w:t>附件：投标报价清单</w:t>
      </w:r>
    </w:p>
    <w:p w14:paraId="05D56EA4">
      <w:pPr>
        <w:rPr>
          <w:sz w:val="28"/>
          <w:szCs w:val="28"/>
        </w:rPr>
      </w:pPr>
    </w:p>
    <w:tbl>
      <w:tblPr>
        <w:tblStyle w:val="22"/>
        <w:tblW w:w="0" w:type="auto"/>
        <w:jc w:val="center"/>
        <w:tblLayout w:type="fixed"/>
        <w:tblCellMar>
          <w:top w:w="0" w:type="dxa"/>
          <w:left w:w="108" w:type="dxa"/>
          <w:bottom w:w="0" w:type="dxa"/>
          <w:right w:w="108" w:type="dxa"/>
        </w:tblCellMar>
      </w:tblPr>
      <w:tblGrid>
        <w:gridCol w:w="629"/>
        <w:gridCol w:w="4399"/>
        <w:gridCol w:w="1417"/>
        <w:gridCol w:w="1440"/>
      </w:tblGrid>
      <w:tr w14:paraId="1EF7E525">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5EB1ACB2">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68659273">
            <w:pPr>
              <w:jc w:val="center"/>
              <w:rPr>
                <w:rFonts w:ascii="宋体" w:hAnsi="宋体" w:eastAsia="仿宋_GB2312" w:cs="Arial"/>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44A0B9C8">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E39AE0F">
            <w:pPr>
              <w:jc w:val="center"/>
              <w:rPr>
                <w:rFonts w:ascii="宋体" w:hAnsi="宋体" w:eastAsia="仿宋_GB2312" w:cs="Arial"/>
                <w:sz w:val="28"/>
                <w:szCs w:val="28"/>
              </w:rPr>
            </w:pPr>
          </w:p>
        </w:tc>
      </w:tr>
      <w:tr w14:paraId="12D3CF38">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19F5E11">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40B1F943">
            <w:pPr>
              <w:pStyle w:val="18"/>
              <w:shd w:val="clear" w:color="auto" w:fill="FFFFFF"/>
              <w:spacing w:line="304" w:lineRule="atLeast"/>
              <w:rPr>
                <w:rFonts w:ascii="仿宋_GB2312" w:hAnsi="inherit" w:eastAsia="仿宋_GB2312" w:cs="宋体"/>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B9FD55B">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A405FCD">
            <w:pPr>
              <w:jc w:val="center"/>
              <w:rPr>
                <w:rFonts w:ascii="宋体" w:hAnsi="宋体" w:eastAsia="仿宋_GB2312" w:cs="Arial"/>
                <w:sz w:val="28"/>
                <w:szCs w:val="28"/>
              </w:rPr>
            </w:pPr>
          </w:p>
        </w:tc>
      </w:tr>
      <w:tr w14:paraId="4DBE294C">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BA5FA58">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4764CDD">
            <w:pPr>
              <w:pStyle w:val="18"/>
              <w:shd w:val="clear" w:color="auto" w:fill="FFFFFF"/>
              <w:spacing w:line="304" w:lineRule="atLeast"/>
              <w:rPr>
                <w:rFonts w:ascii="仿宋_GB2312" w:hAnsi="inherit" w:eastAsia="仿宋_GB2312" w:cs="宋体"/>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54E7C2B1">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A3EB799">
            <w:pPr>
              <w:jc w:val="center"/>
              <w:rPr>
                <w:rFonts w:ascii="宋体" w:hAnsi="宋体" w:eastAsia="仿宋_GB2312" w:cs="Arial"/>
                <w:sz w:val="28"/>
                <w:szCs w:val="28"/>
              </w:rPr>
            </w:pPr>
          </w:p>
        </w:tc>
      </w:tr>
    </w:tbl>
    <w:p w14:paraId="15B80DAA">
      <w:pPr>
        <w:jc w:val="center"/>
        <w:rPr>
          <w:sz w:val="28"/>
          <w:szCs w:val="28"/>
        </w:rPr>
      </w:pPr>
    </w:p>
    <w:p w14:paraId="4A5C7329">
      <w:pPr>
        <w:jc w:val="center"/>
        <w:rPr>
          <w:rFonts w:hint="eastAsia"/>
          <w:b/>
          <w:sz w:val="28"/>
          <w:szCs w:val="28"/>
        </w:rPr>
      </w:pPr>
    </w:p>
    <w:p w14:paraId="0DD0D6CE">
      <w:pPr>
        <w:jc w:val="center"/>
        <w:rPr>
          <w:rFonts w:hint="eastAsia"/>
          <w:b/>
          <w:sz w:val="28"/>
          <w:szCs w:val="28"/>
        </w:rPr>
      </w:pPr>
    </w:p>
    <w:p w14:paraId="02E13B69">
      <w:pPr>
        <w:jc w:val="center"/>
        <w:rPr>
          <w:rFonts w:hint="eastAsia"/>
          <w:b/>
          <w:sz w:val="28"/>
          <w:szCs w:val="28"/>
        </w:rPr>
      </w:pPr>
    </w:p>
    <w:p w14:paraId="22F7D1FD">
      <w:pPr>
        <w:jc w:val="center"/>
        <w:rPr>
          <w:rFonts w:hint="eastAsia"/>
          <w:b/>
          <w:sz w:val="28"/>
          <w:szCs w:val="28"/>
        </w:rPr>
      </w:pPr>
    </w:p>
    <w:p w14:paraId="424D417E">
      <w:pPr>
        <w:jc w:val="center"/>
        <w:rPr>
          <w:rFonts w:hint="eastAsia"/>
          <w:b/>
          <w:sz w:val="28"/>
          <w:szCs w:val="28"/>
        </w:rPr>
      </w:pPr>
    </w:p>
    <w:p w14:paraId="46E3BE56">
      <w:pPr>
        <w:jc w:val="center"/>
        <w:rPr>
          <w:rFonts w:hint="eastAsia"/>
          <w:b/>
          <w:sz w:val="28"/>
          <w:szCs w:val="28"/>
        </w:rPr>
      </w:pPr>
    </w:p>
    <w:p w14:paraId="641D173F">
      <w:pPr>
        <w:jc w:val="center"/>
        <w:rPr>
          <w:rFonts w:hint="eastAsia"/>
          <w:b/>
          <w:sz w:val="28"/>
          <w:szCs w:val="28"/>
        </w:rPr>
      </w:pPr>
    </w:p>
    <w:p w14:paraId="3862B8B5">
      <w:pPr>
        <w:jc w:val="center"/>
        <w:rPr>
          <w:rFonts w:hint="eastAsia"/>
          <w:b/>
          <w:sz w:val="28"/>
          <w:szCs w:val="28"/>
        </w:rPr>
      </w:pPr>
    </w:p>
    <w:p w14:paraId="0089226A">
      <w:pPr>
        <w:jc w:val="center"/>
        <w:rPr>
          <w:b/>
          <w:sz w:val="28"/>
          <w:szCs w:val="28"/>
        </w:rPr>
      </w:pPr>
      <w:r>
        <w:rPr>
          <w:rFonts w:hint="eastAsia"/>
          <w:b/>
          <w:sz w:val="28"/>
          <w:szCs w:val="28"/>
        </w:rPr>
        <w:t>二、投标委托代表人资格证明书</w:t>
      </w:r>
    </w:p>
    <w:p w14:paraId="55E0DA4C">
      <w:pPr>
        <w:rPr>
          <w:sz w:val="28"/>
          <w:szCs w:val="28"/>
        </w:rPr>
      </w:pPr>
    </w:p>
    <w:p w14:paraId="6B7C97CE">
      <w:pPr>
        <w:spacing w:line="360" w:lineRule="auto"/>
        <w:rPr>
          <w:rFonts w:ascii="仿宋_GB2312" w:eastAsia="仿宋_GB2312"/>
          <w:sz w:val="28"/>
          <w:szCs w:val="28"/>
          <w:u w:val="single"/>
        </w:rPr>
      </w:pPr>
      <w:r>
        <w:rPr>
          <w:rFonts w:hint="eastAsia" w:ascii="仿宋_GB2312" w:eastAsia="仿宋_GB2312"/>
          <w:sz w:val="28"/>
          <w:szCs w:val="28"/>
        </w:rPr>
        <w:t>单位名称：</w:t>
      </w:r>
    </w:p>
    <w:p w14:paraId="527D25B7">
      <w:pPr>
        <w:spacing w:line="360" w:lineRule="auto"/>
        <w:rPr>
          <w:rFonts w:ascii="仿宋_GB2312" w:eastAsia="仿宋_GB2312"/>
          <w:sz w:val="28"/>
          <w:szCs w:val="28"/>
          <w:u w:val="single"/>
        </w:rPr>
      </w:pPr>
      <w:r>
        <w:rPr>
          <w:rFonts w:hint="eastAsia" w:ascii="仿宋_GB2312" w:eastAsia="仿宋_GB2312"/>
          <w:sz w:val="28"/>
          <w:szCs w:val="28"/>
        </w:rPr>
        <w:t>地址：</w:t>
      </w:r>
    </w:p>
    <w:p w14:paraId="165C47AA">
      <w:pPr>
        <w:spacing w:line="360" w:lineRule="auto"/>
        <w:rPr>
          <w:rFonts w:ascii="仿宋_GB2312" w:eastAsia="仿宋_GB2312"/>
          <w:sz w:val="28"/>
          <w:szCs w:val="28"/>
        </w:rPr>
      </w:pPr>
      <w:r>
        <w:rPr>
          <w:rFonts w:hint="eastAsia" w:ascii="仿宋_GB2312" w:eastAsia="仿宋_GB2312"/>
          <w:sz w:val="28"/>
          <w:szCs w:val="28"/>
        </w:rPr>
        <w:t>姓名：    性别：年龄：  职务：   系委托代表人。为施工、竣工和保修项目，签署上述项目的投标文件、进行合同谈判、签署合同和处理与之有关的一切事务。</w:t>
      </w:r>
    </w:p>
    <w:p w14:paraId="1D1239CF">
      <w:pPr>
        <w:spacing w:line="360" w:lineRule="auto"/>
        <w:rPr>
          <w:rFonts w:ascii="仿宋_GB2312" w:eastAsia="仿宋_GB2312"/>
          <w:sz w:val="28"/>
          <w:szCs w:val="28"/>
        </w:rPr>
      </w:pPr>
    </w:p>
    <w:p w14:paraId="145CC6E9">
      <w:pPr>
        <w:spacing w:line="360" w:lineRule="auto"/>
        <w:ind w:firstLine="5460" w:firstLineChars="1950"/>
        <w:rPr>
          <w:rFonts w:ascii="仿宋_GB2312" w:eastAsia="仿宋_GB2312"/>
          <w:sz w:val="28"/>
          <w:szCs w:val="28"/>
        </w:rPr>
      </w:pPr>
      <w:r>
        <w:rPr>
          <w:rFonts w:hint="eastAsia" w:ascii="仿宋_GB2312" w:eastAsia="仿宋_GB2312"/>
          <w:sz w:val="28"/>
          <w:szCs w:val="28"/>
        </w:rPr>
        <w:t xml:space="preserve">投标人（盖章）：   </w:t>
      </w:r>
    </w:p>
    <w:p w14:paraId="4B644C97">
      <w:pPr>
        <w:spacing w:line="360" w:lineRule="auto"/>
        <w:ind w:firstLine="5740" w:firstLineChars="2050"/>
        <w:rPr>
          <w:rFonts w:ascii="仿宋_GB2312" w:eastAsia="仿宋_GB2312"/>
          <w:sz w:val="28"/>
          <w:szCs w:val="28"/>
        </w:rPr>
      </w:pPr>
      <w:r>
        <w:rPr>
          <w:rFonts w:hint="eastAsia" w:ascii="仿宋_GB2312" w:eastAsia="仿宋_GB2312"/>
          <w:sz w:val="28"/>
          <w:szCs w:val="28"/>
        </w:rPr>
        <w:t>年   月  日</w:t>
      </w:r>
    </w:p>
    <w:p w14:paraId="273D6145">
      <w:pPr>
        <w:jc w:val="center"/>
        <w:rPr>
          <w:b/>
          <w:sz w:val="28"/>
          <w:szCs w:val="28"/>
        </w:rPr>
      </w:pPr>
    </w:p>
    <w:p w14:paraId="5D4DD2ED">
      <w:pPr>
        <w:jc w:val="center"/>
        <w:rPr>
          <w:b/>
          <w:sz w:val="28"/>
          <w:szCs w:val="28"/>
        </w:rPr>
      </w:pPr>
    </w:p>
    <w:p w14:paraId="5F5C662B">
      <w:pPr>
        <w:pStyle w:val="12"/>
        <w:rPr>
          <w:b/>
          <w:sz w:val="28"/>
          <w:szCs w:val="28"/>
        </w:rPr>
      </w:pPr>
    </w:p>
    <w:p w14:paraId="74C7F8F5">
      <w:pPr>
        <w:pStyle w:val="12"/>
        <w:rPr>
          <w:b/>
          <w:sz w:val="28"/>
          <w:szCs w:val="28"/>
        </w:rPr>
      </w:pPr>
    </w:p>
    <w:p w14:paraId="06AEB44C">
      <w:pPr>
        <w:pStyle w:val="12"/>
        <w:rPr>
          <w:b/>
          <w:sz w:val="28"/>
          <w:szCs w:val="28"/>
        </w:rPr>
      </w:pPr>
    </w:p>
    <w:p w14:paraId="20921E0B">
      <w:pPr>
        <w:pStyle w:val="12"/>
        <w:rPr>
          <w:b/>
          <w:sz w:val="28"/>
          <w:szCs w:val="28"/>
        </w:rPr>
      </w:pPr>
    </w:p>
    <w:p w14:paraId="6938FEDA">
      <w:pPr>
        <w:pStyle w:val="12"/>
        <w:rPr>
          <w:b/>
          <w:sz w:val="28"/>
          <w:szCs w:val="28"/>
        </w:rPr>
      </w:pPr>
    </w:p>
    <w:p w14:paraId="524D0899">
      <w:pPr>
        <w:pStyle w:val="12"/>
        <w:rPr>
          <w:b/>
          <w:sz w:val="28"/>
          <w:szCs w:val="28"/>
        </w:rPr>
      </w:pPr>
    </w:p>
    <w:p w14:paraId="54C6D647">
      <w:pPr>
        <w:pStyle w:val="12"/>
        <w:rPr>
          <w:b/>
          <w:sz w:val="28"/>
          <w:szCs w:val="28"/>
        </w:rPr>
      </w:pPr>
    </w:p>
    <w:p w14:paraId="00E5903E">
      <w:pPr>
        <w:pStyle w:val="12"/>
        <w:rPr>
          <w:b/>
          <w:sz w:val="28"/>
          <w:szCs w:val="28"/>
        </w:rPr>
      </w:pPr>
    </w:p>
    <w:p w14:paraId="517DEDF2">
      <w:pPr>
        <w:pStyle w:val="12"/>
        <w:rPr>
          <w:b/>
          <w:sz w:val="28"/>
          <w:szCs w:val="28"/>
        </w:rPr>
      </w:pPr>
    </w:p>
    <w:p w14:paraId="0E2D0F6D">
      <w:pPr>
        <w:pStyle w:val="12"/>
        <w:rPr>
          <w:b/>
          <w:sz w:val="28"/>
          <w:szCs w:val="28"/>
        </w:rPr>
      </w:pPr>
    </w:p>
    <w:p w14:paraId="6A91E7D7">
      <w:pPr>
        <w:pStyle w:val="12"/>
        <w:rPr>
          <w:b/>
          <w:sz w:val="28"/>
          <w:szCs w:val="28"/>
        </w:rPr>
      </w:pPr>
    </w:p>
    <w:p w14:paraId="120EB975">
      <w:pPr>
        <w:pStyle w:val="12"/>
        <w:rPr>
          <w:b/>
          <w:sz w:val="28"/>
          <w:szCs w:val="28"/>
        </w:rPr>
      </w:pPr>
    </w:p>
    <w:p w14:paraId="6CA64767">
      <w:pPr>
        <w:pStyle w:val="12"/>
        <w:rPr>
          <w:b/>
          <w:sz w:val="28"/>
          <w:szCs w:val="28"/>
        </w:rPr>
      </w:pPr>
    </w:p>
    <w:p w14:paraId="4C934E57">
      <w:pPr>
        <w:jc w:val="center"/>
        <w:rPr>
          <w:b/>
          <w:sz w:val="28"/>
          <w:szCs w:val="28"/>
        </w:rPr>
      </w:pPr>
      <w:r>
        <w:rPr>
          <w:rFonts w:hint="eastAsia"/>
          <w:b/>
          <w:sz w:val="28"/>
          <w:szCs w:val="28"/>
        </w:rPr>
        <w:t>三、投标承诺书</w:t>
      </w:r>
    </w:p>
    <w:p w14:paraId="7A86DCE9">
      <w:pPr>
        <w:tabs>
          <w:tab w:val="left" w:pos="5355"/>
        </w:tabs>
        <w:spacing w:before="100" w:beforeAutospacing="1" w:after="100" w:afterAutospacing="1" w:line="480" w:lineRule="auto"/>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4B2575CB">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7EDB990D">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我司承诺福建省肿瘤医院在授予我司合同时有权利增加补充相关内容。</w:t>
      </w:r>
    </w:p>
    <w:p w14:paraId="7E4708B1">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投标人名称（全称并加公章）：</w:t>
      </w:r>
    </w:p>
    <w:p w14:paraId="18426B9E">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投标人代表签字：</w:t>
      </w:r>
    </w:p>
    <w:p w14:paraId="366F663B">
      <w:pPr>
        <w:tabs>
          <w:tab w:val="left" w:pos="5355"/>
        </w:tabs>
        <w:spacing w:before="100" w:beforeAutospacing="1" w:after="100" w:afterAutospacing="1" w:line="480" w:lineRule="auto"/>
        <w:rPr>
          <w:b/>
          <w:sz w:val="28"/>
          <w:szCs w:val="28"/>
        </w:rPr>
      </w:pPr>
      <w:r>
        <w:rPr>
          <w:rFonts w:hint="eastAsia" w:ascii="仿宋_GB2312" w:hAnsi="宋体" w:eastAsia="仿宋_GB2312" w:cs="宋体"/>
          <w:sz w:val="28"/>
          <w:szCs w:val="28"/>
        </w:rPr>
        <w:t>日期：     年    月   日</w:t>
      </w:r>
    </w:p>
    <w:p w14:paraId="2E7A4602">
      <w:pPr>
        <w:spacing w:line="380" w:lineRule="exact"/>
        <w:rPr>
          <w:rFonts w:ascii="宋体" w:hAnsi="宋体" w:eastAsia="仿宋_GB2312"/>
          <w:sz w:val="28"/>
          <w:szCs w:val="28"/>
        </w:rPr>
      </w:pPr>
    </w:p>
    <w:p w14:paraId="3842C9DE">
      <w:pPr>
        <w:spacing w:line="380" w:lineRule="exact"/>
        <w:rPr>
          <w:rFonts w:ascii="宋体" w:hAnsi="宋体" w:eastAsia="仿宋_GB2312"/>
          <w:sz w:val="28"/>
          <w:szCs w:val="28"/>
        </w:rPr>
      </w:pPr>
    </w:p>
    <w:p w14:paraId="6D2C80A9">
      <w:pPr>
        <w:jc w:val="center"/>
        <w:rPr>
          <w:rFonts w:hint="eastAsia" w:cs="Times New Roman"/>
          <w:b/>
          <w:sz w:val="28"/>
          <w:szCs w:val="28"/>
        </w:rPr>
      </w:pPr>
    </w:p>
    <w:p w14:paraId="2F41350D">
      <w:pPr>
        <w:jc w:val="center"/>
        <w:rPr>
          <w:rFonts w:hint="eastAsia" w:cs="Times New Roman"/>
          <w:b/>
          <w:sz w:val="28"/>
          <w:szCs w:val="28"/>
        </w:rPr>
      </w:pPr>
      <w:r>
        <w:rPr>
          <w:rFonts w:hint="eastAsia" w:cs="Times New Roman"/>
          <w:b/>
          <w:sz w:val="28"/>
          <w:szCs w:val="28"/>
        </w:rPr>
        <w:t>四、采购供应商资格承诺函</w:t>
      </w:r>
    </w:p>
    <w:p w14:paraId="739D09BD">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致：（采购人或采购代理机构）</w:t>
      </w:r>
    </w:p>
    <w:p w14:paraId="6A8B8594">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单位名称(自然人姓名):</w:t>
      </w:r>
    </w:p>
    <w:p w14:paraId="05906A97">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统一社会信用代码(自然人身份证号码):</w:t>
      </w:r>
    </w:p>
    <w:p w14:paraId="1055E4F2">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法定代表人(负责人):</w:t>
      </w:r>
    </w:p>
    <w:p w14:paraId="4A3CD355">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联系地址和电话:</w:t>
      </w:r>
    </w:p>
    <w:p w14:paraId="1A843F4B">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我单位(本人)自愿参加本次政府采购活动，严格遵守《中华人民共和国政府采购法》及相关法律法规，坚守公开、公平公正和诚实信用等原则，依法诚信经营，并郑重承诺:</w:t>
      </w:r>
    </w:p>
    <w:p w14:paraId="5E7CEACC">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一、我单位(本人)具备采购文件要求以及《中华人民共和国政府采购法》第二十二条规定的条件:</w:t>
      </w:r>
    </w:p>
    <w:p w14:paraId="79488A0B">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1.具有独立承担民事责任的能力;</w:t>
      </w:r>
    </w:p>
    <w:p w14:paraId="6EE4C473">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2.具有良好的商业信誉和健全的财务会计制度;</w:t>
      </w:r>
    </w:p>
    <w:p w14:paraId="595164BD">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3.具有履行合同所必需的设备和专业技术能力;</w:t>
      </w:r>
    </w:p>
    <w:p w14:paraId="22929555">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4.有依法缴纳税收和社会保障资金的良好记录;</w:t>
      </w:r>
    </w:p>
    <w:p w14:paraId="6C779C38">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5.参加政府采购活动前三年内，在经营活动中没有重大违法记录；</w:t>
      </w:r>
    </w:p>
    <w:p w14:paraId="43B0EEFA">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6.法律、行政法规规定的其他条件。</w:t>
      </w:r>
    </w:p>
    <w:p w14:paraId="75CCD68B">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E4F77A6">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9ADFD89">
      <w:pPr>
        <w:pStyle w:val="47"/>
        <w:ind w:firstLine="480"/>
        <w:jc w:val="right"/>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供应商：名称(单位公章):</w:t>
      </w:r>
    </w:p>
    <w:p w14:paraId="02E44FA2">
      <w:pPr>
        <w:pStyle w:val="47"/>
        <w:ind w:firstLine="480"/>
        <w:jc w:val="right"/>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日期：　　年　　月　　日</w:t>
      </w:r>
    </w:p>
    <w:p w14:paraId="0BCFABAF">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注：</w:t>
      </w:r>
    </w:p>
    <w:p w14:paraId="38FA0409">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1.我单位(本人)专指参加政府采购活动的供应商(含自然人)；</w:t>
      </w:r>
    </w:p>
    <w:p w14:paraId="6A79A539">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2.资格承诺的供应商应在投标(响应)文件中按此模板提供承诺函，否则，视为未按照招标文件规定提交投标人的资格及资信文件，按资格审查不通过处理。</w:t>
      </w:r>
    </w:p>
    <w:p w14:paraId="407A67AC">
      <w:pPr>
        <w:spacing w:line="380" w:lineRule="exact"/>
        <w:ind w:firstLine="560" w:firstLineChars="200"/>
        <w:rPr>
          <w:rFonts w:hint="eastAsia" w:ascii="仿宋_GB2312" w:hAnsi="宋体" w:eastAsia="仿宋_GB2312" w:cs="宋体"/>
          <w:bCs/>
          <w:kern w:val="0"/>
          <w:sz w:val="28"/>
          <w:szCs w:val="28"/>
          <w:lang w:val="en-US" w:eastAsia="zh-CN" w:bidi="ar-SA"/>
        </w:rPr>
      </w:pPr>
    </w:p>
    <w:p w14:paraId="70B70481">
      <w:pPr>
        <w:tabs>
          <w:tab w:val="left" w:pos="1600"/>
        </w:tabs>
        <w:spacing w:line="560" w:lineRule="exact"/>
        <w:ind w:left="330" w:firstLine="240"/>
        <w:jc w:val="center"/>
        <w:rPr>
          <w:rFonts w:hint="eastAsia" w:ascii="宋体" w:hAnsi="宋体"/>
          <w:b/>
          <w:sz w:val="30"/>
          <w:szCs w:val="30"/>
        </w:rPr>
      </w:pPr>
    </w:p>
    <w:p w14:paraId="313DE9F1">
      <w:pPr>
        <w:tabs>
          <w:tab w:val="left" w:pos="1600"/>
        </w:tabs>
        <w:spacing w:line="560" w:lineRule="exact"/>
        <w:ind w:left="330" w:firstLine="240"/>
        <w:jc w:val="center"/>
        <w:rPr>
          <w:rFonts w:hint="eastAsia" w:ascii="宋体" w:hAnsi="宋体"/>
          <w:b/>
          <w:sz w:val="30"/>
          <w:szCs w:val="30"/>
        </w:rPr>
      </w:pPr>
    </w:p>
    <w:p w14:paraId="50811575">
      <w:pPr>
        <w:tabs>
          <w:tab w:val="left" w:pos="1600"/>
        </w:tabs>
        <w:spacing w:line="560" w:lineRule="exact"/>
        <w:ind w:left="330" w:firstLine="240"/>
        <w:jc w:val="center"/>
        <w:rPr>
          <w:rFonts w:hint="eastAsia" w:ascii="宋体" w:hAnsi="宋体"/>
          <w:b/>
          <w:sz w:val="30"/>
          <w:szCs w:val="30"/>
        </w:rPr>
      </w:pPr>
    </w:p>
    <w:p w14:paraId="508698CD">
      <w:pPr>
        <w:tabs>
          <w:tab w:val="left" w:pos="1600"/>
        </w:tabs>
        <w:spacing w:line="560" w:lineRule="exact"/>
        <w:ind w:left="330" w:firstLine="240"/>
        <w:jc w:val="center"/>
        <w:rPr>
          <w:rFonts w:ascii="宋体" w:hAnsi="宋体"/>
          <w:b/>
          <w:sz w:val="30"/>
          <w:szCs w:val="30"/>
        </w:rPr>
      </w:pPr>
      <w:r>
        <w:rPr>
          <w:rFonts w:hint="eastAsia" w:ascii="宋体" w:hAnsi="宋体"/>
          <w:b/>
          <w:sz w:val="30"/>
          <w:szCs w:val="30"/>
        </w:rPr>
        <w:t>五、投标人提交的其它材料</w:t>
      </w:r>
    </w:p>
    <w:p w14:paraId="311C78C4">
      <w:pPr>
        <w:spacing w:line="220" w:lineRule="atLeast"/>
        <w:rPr>
          <w:rFonts w:ascii="宋体" w:hAnsi="宋体" w:eastAsia="仿宋_GB2312"/>
          <w:sz w:val="28"/>
          <w:szCs w:val="28"/>
        </w:rPr>
      </w:pPr>
    </w:p>
    <w:p w14:paraId="1D3BBECB"/>
    <w:p w14:paraId="7214E9B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inherit">
    <w:altName w:val="Times New Roman"/>
    <w:panose1 w:val="00000000000000000000"/>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14FAC"/>
    <w:multiLevelType w:val="singleLevel"/>
    <w:tmpl w:val="81014FAC"/>
    <w:lvl w:ilvl="0" w:tentative="0">
      <w:start w:val="1"/>
      <w:numFmt w:val="decimal"/>
      <w:suff w:val="space"/>
      <w:lvlText w:val="%1."/>
      <w:lvlJc w:val="left"/>
      <w:pPr>
        <w:ind w:left="-80"/>
      </w:pPr>
    </w:lvl>
  </w:abstractNum>
  <w:abstractNum w:abstractNumId="1">
    <w:nsid w:val="A8C1B534"/>
    <w:multiLevelType w:val="singleLevel"/>
    <w:tmpl w:val="A8C1B534"/>
    <w:lvl w:ilvl="0" w:tentative="0">
      <w:start w:val="1"/>
      <w:numFmt w:val="chineseCounting"/>
      <w:suff w:val="nothing"/>
      <w:lvlText w:val="（%1）"/>
      <w:lvlJc w:val="left"/>
      <w:pPr>
        <w:ind w:left="0" w:firstLine="420"/>
      </w:pPr>
      <w:rPr>
        <w:rFonts w:hint="eastAsia"/>
      </w:rPr>
    </w:lvl>
  </w:abstractNum>
  <w:abstractNum w:abstractNumId="2">
    <w:nsid w:val="C074C1E2"/>
    <w:multiLevelType w:val="singleLevel"/>
    <w:tmpl w:val="C074C1E2"/>
    <w:lvl w:ilvl="0" w:tentative="0">
      <w:start w:val="1"/>
      <w:numFmt w:val="decimal"/>
      <w:lvlText w:val="%1."/>
      <w:lvlJc w:val="left"/>
      <w:pPr>
        <w:ind w:left="865" w:hanging="425"/>
      </w:pPr>
      <w:rPr>
        <w:rFonts w:hint="default" w:ascii="宋体" w:hAnsi="宋体" w:eastAsia="宋体" w:cstheme="majorEastAsia"/>
        <w:sz w:val="26"/>
        <w:szCs w:val="26"/>
      </w:rPr>
    </w:lvl>
  </w:abstractNum>
  <w:abstractNum w:abstractNumId="3">
    <w:nsid w:val="F5F1E733"/>
    <w:multiLevelType w:val="singleLevel"/>
    <w:tmpl w:val="F5F1E733"/>
    <w:lvl w:ilvl="0" w:tentative="0">
      <w:start w:val="1"/>
      <w:numFmt w:val="decimal"/>
      <w:suff w:val="space"/>
      <w:lvlText w:val="%1."/>
      <w:lvlJc w:val="left"/>
      <w:pPr>
        <w:ind w:left="-80"/>
      </w:pPr>
    </w:lvl>
  </w:abstractNum>
  <w:abstractNum w:abstractNumId="4">
    <w:nsid w:val="248C3803"/>
    <w:multiLevelType w:val="singleLevel"/>
    <w:tmpl w:val="248C3803"/>
    <w:lvl w:ilvl="0" w:tentative="0">
      <w:start w:val="1"/>
      <w:numFmt w:val="chineseCounting"/>
      <w:suff w:val="nothing"/>
      <w:lvlText w:val="%1、"/>
      <w:lvlJc w:val="left"/>
      <w:rPr>
        <w:rFonts w:hint="eastAsia"/>
      </w:rPr>
    </w:lvl>
  </w:abstractNum>
  <w:abstractNum w:abstractNumId="5">
    <w:nsid w:val="2CE6AD5F"/>
    <w:multiLevelType w:val="singleLevel"/>
    <w:tmpl w:val="2CE6AD5F"/>
    <w:lvl w:ilvl="0" w:tentative="0">
      <w:start w:val="1"/>
      <w:numFmt w:val="decimal"/>
      <w:lvlText w:val="(%1)"/>
      <w:lvlJc w:val="left"/>
      <w:pPr>
        <w:ind w:left="1085" w:hanging="425"/>
      </w:pPr>
      <w:rPr>
        <w:rFonts w:hint="default"/>
      </w:rPr>
    </w:lvl>
  </w:abstractNum>
  <w:abstractNum w:abstractNumId="6">
    <w:nsid w:val="372123A1"/>
    <w:multiLevelType w:val="multilevel"/>
    <w:tmpl w:val="372123A1"/>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7">
    <w:nsid w:val="50AE6D90"/>
    <w:multiLevelType w:val="multilevel"/>
    <w:tmpl w:val="50AE6D90"/>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8">
    <w:nsid w:val="518AF111"/>
    <w:multiLevelType w:val="singleLevel"/>
    <w:tmpl w:val="518AF111"/>
    <w:lvl w:ilvl="0" w:tentative="0">
      <w:start w:val="1"/>
      <w:numFmt w:val="decimal"/>
      <w:lvlText w:val="(%1)"/>
      <w:lvlJc w:val="left"/>
      <w:pPr>
        <w:ind w:left="1085" w:hanging="425"/>
      </w:pPr>
      <w:rPr>
        <w:rFonts w:hint="default"/>
      </w:rPr>
    </w:lvl>
  </w:abstractNum>
  <w:abstractNum w:abstractNumId="9">
    <w:nsid w:val="7196F9DA"/>
    <w:multiLevelType w:val="multilevel"/>
    <w:tmpl w:val="7196F9DA"/>
    <w:lvl w:ilvl="0" w:tentative="0">
      <w:start w:val="1"/>
      <w:numFmt w:val="decimal"/>
      <w:lvlText w:val="%1."/>
      <w:lvlJc w:val="left"/>
      <w:pPr>
        <w:ind w:left="880" w:hanging="440"/>
      </w:pPr>
      <w:rPr>
        <w:rFonts w:hint="default" w:asciiTheme="majorEastAsia" w:hAnsiTheme="majorEastAsia" w:eastAsiaTheme="majorEastAsia" w:cstheme="majorEastAsia"/>
        <w:b w:val="0"/>
        <w:bCs w:val="0"/>
        <w:sz w:val="26"/>
        <w:szCs w:val="26"/>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0">
    <w:nsid w:val="74AF2DF7"/>
    <w:multiLevelType w:val="multilevel"/>
    <w:tmpl w:val="74AF2DF7"/>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11">
    <w:nsid w:val="75EE7788"/>
    <w:multiLevelType w:val="multilevel"/>
    <w:tmpl w:val="75EE7788"/>
    <w:lvl w:ilvl="0" w:tentative="0">
      <w:start w:val="1"/>
      <w:numFmt w:val="decimal"/>
      <w:lvlText w:val="%1."/>
      <w:lvlJc w:val="left"/>
      <w:pPr>
        <w:ind w:left="830" w:hanging="440"/>
      </w:pPr>
      <w:rPr>
        <w:rFonts w:hint="default" w:ascii="宋体" w:hAnsi="宋体" w:eastAsia="宋体" w:cstheme="majorEastAsia"/>
        <w:b w:val="0"/>
        <w:bCs w:val="0"/>
        <w:sz w:val="26"/>
        <w:szCs w:val="26"/>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12">
    <w:nsid w:val="779E48CE"/>
    <w:multiLevelType w:val="multilevel"/>
    <w:tmpl w:val="779E48CE"/>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num w:numId="1">
    <w:abstractNumId w:val="11"/>
  </w:num>
  <w:num w:numId="2">
    <w:abstractNumId w:val="6"/>
  </w:num>
  <w:num w:numId="3">
    <w:abstractNumId w:val="9"/>
  </w:num>
  <w:num w:numId="4">
    <w:abstractNumId w:val="10"/>
  </w:num>
  <w:num w:numId="5">
    <w:abstractNumId w:val="2"/>
  </w:num>
  <w:num w:numId="6">
    <w:abstractNumId w:val="3"/>
  </w:num>
  <w:num w:numId="7">
    <w:abstractNumId w:val="12"/>
  </w:num>
  <w:num w:numId="8">
    <w:abstractNumId w:val="7"/>
  </w:num>
  <w:num w:numId="9">
    <w:abstractNumId w:val="4"/>
  </w:num>
  <w:num w:numId="10">
    <w:abstractNumId w:val="1"/>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xNWUwMzE1MzE5ZTUyYjc3MGExMTZiNzk0OWQyMzIifQ=="/>
  </w:docVars>
  <w:rsids>
    <w:rsidRoot w:val="00925EA8"/>
    <w:rsid w:val="00013AC5"/>
    <w:rsid w:val="000176FA"/>
    <w:rsid w:val="000320C1"/>
    <w:rsid w:val="000A52FF"/>
    <w:rsid w:val="000B3136"/>
    <w:rsid w:val="000D002C"/>
    <w:rsid w:val="000E02B3"/>
    <w:rsid w:val="000F6AB4"/>
    <w:rsid w:val="00100B90"/>
    <w:rsid w:val="001974A4"/>
    <w:rsid w:val="001C16F6"/>
    <w:rsid w:val="00211344"/>
    <w:rsid w:val="004344FA"/>
    <w:rsid w:val="004A7C9A"/>
    <w:rsid w:val="004C2B78"/>
    <w:rsid w:val="00500740"/>
    <w:rsid w:val="00545471"/>
    <w:rsid w:val="00575750"/>
    <w:rsid w:val="0058679B"/>
    <w:rsid w:val="005F4D92"/>
    <w:rsid w:val="00620EA6"/>
    <w:rsid w:val="006575E2"/>
    <w:rsid w:val="006841D4"/>
    <w:rsid w:val="006D6F3B"/>
    <w:rsid w:val="007017C3"/>
    <w:rsid w:val="0071695C"/>
    <w:rsid w:val="007A3BC9"/>
    <w:rsid w:val="00827F17"/>
    <w:rsid w:val="00861407"/>
    <w:rsid w:val="008926BB"/>
    <w:rsid w:val="008D292D"/>
    <w:rsid w:val="008F04C5"/>
    <w:rsid w:val="008F50A2"/>
    <w:rsid w:val="00925EA8"/>
    <w:rsid w:val="009B089F"/>
    <w:rsid w:val="00A01F6B"/>
    <w:rsid w:val="00A13103"/>
    <w:rsid w:val="00AB5F12"/>
    <w:rsid w:val="00B02446"/>
    <w:rsid w:val="00B53767"/>
    <w:rsid w:val="00B5576B"/>
    <w:rsid w:val="00B82747"/>
    <w:rsid w:val="00C54FFE"/>
    <w:rsid w:val="00C666E8"/>
    <w:rsid w:val="00CA76F7"/>
    <w:rsid w:val="00D56868"/>
    <w:rsid w:val="00D910B2"/>
    <w:rsid w:val="00E360F1"/>
    <w:rsid w:val="00EE41A9"/>
    <w:rsid w:val="00FD1894"/>
    <w:rsid w:val="01011FFF"/>
    <w:rsid w:val="017D3703"/>
    <w:rsid w:val="01B043B5"/>
    <w:rsid w:val="027C3368"/>
    <w:rsid w:val="03960557"/>
    <w:rsid w:val="03B02B5A"/>
    <w:rsid w:val="03DF7B4F"/>
    <w:rsid w:val="056F5558"/>
    <w:rsid w:val="0591622B"/>
    <w:rsid w:val="063F594E"/>
    <w:rsid w:val="06954AF6"/>
    <w:rsid w:val="072E3E0C"/>
    <w:rsid w:val="07716234"/>
    <w:rsid w:val="08A94889"/>
    <w:rsid w:val="092551FE"/>
    <w:rsid w:val="0BCB0FBA"/>
    <w:rsid w:val="0FDA5C70"/>
    <w:rsid w:val="104B4477"/>
    <w:rsid w:val="12AA1929"/>
    <w:rsid w:val="136C4E31"/>
    <w:rsid w:val="15D13671"/>
    <w:rsid w:val="160E0421"/>
    <w:rsid w:val="174A4417"/>
    <w:rsid w:val="17EA0A1A"/>
    <w:rsid w:val="18756510"/>
    <w:rsid w:val="191C049E"/>
    <w:rsid w:val="19B65058"/>
    <w:rsid w:val="1A534654"/>
    <w:rsid w:val="1A635DE4"/>
    <w:rsid w:val="1AA650CC"/>
    <w:rsid w:val="1AF30046"/>
    <w:rsid w:val="1AF75928"/>
    <w:rsid w:val="1B2047C2"/>
    <w:rsid w:val="1B6D1746"/>
    <w:rsid w:val="1B8F3E89"/>
    <w:rsid w:val="1BEA723A"/>
    <w:rsid w:val="1D8F331F"/>
    <w:rsid w:val="1DC835AB"/>
    <w:rsid w:val="225673D8"/>
    <w:rsid w:val="22883309"/>
    <w:rsid w:val="2393261C"/>
    <w:rsid w:val="23C71C0F"/>
    <w:rsid w:val="23F46EA8"/>
    <w:rsid w:val="25F73270"/>
    <w:rsid w:val="271118FA"/>
    <w:rsid w:val="27FD039C"/>
    <w:rsid w:val="285B1E8D"/>
    <w:rsid w:val="295B0D8A"/>
    <w:rsid w:val="29DA72BC"/>
    <w:rsid w:val="2B195446"/>
    <w:rsid w:val="2BEF61A7"/>
    <w:rsid w:val="2CB97406"/>
    <w:rsid w:val="2CCB09C2"/>
    <w:rsid w:val="2CD624D9"/>
    <w:rsid w:val="2D084E9E"/>
    <w:rsid w:val="2EE30F1C"/>
    <w:rsid w:val="32B35563"/>
    <w:rsid w:val="32FD3A4B"/>
    <w:rsid w:val="3498562E"/>
    <w:rsid w:val="35AF70D3"/>
    <w:rsid w:val="365E759D"/>
    <w:rsid w:val="38571C7D"/>
    <w:rsid w:val="38F54FFF"/>
    <w:rsid w:val="3A3951BD"/>
    <w:rsid w:val="3A4352FA"/>
    <w:rsid w:val="3AA60379"/>
    <w:rsid w:val="3ACC6031"/>
    <w:rsid w:val="3D1912D6"/>
    <w:rsid w:val="3E344619"/>
    <w:rsid w:val="3E481E73"/>
    <w:rsid w:val="3E4E6535"/>
    <w:rsid w:val="3E6A5C9A"/>
    <w:rsid w:val="3F0B7EC8"/>
    <w:rsid w:val="3F890995"/>
    <w:rsid w:val="404D19C2"/>
    <w:rsid w:val="406E7B8B"/>
    <w:rsid w:val="43252782"/>
    <w:rsid w:val="44057349"/>
    <w:rsid w:val="449B7B36"/>
    <w:rsid w:val="44A618A0"/>
    <w:rsid w:val="45015AB4"/>
    <w:rsid w:val="45BE0AF7"/>
    <w:rsid w:val="46A165C4"/>
    <w:rsid w:val="46E26BDC"/>
    <w:rsid w:val="46FC7C9E"/>
    <w:rsid w:val="480D36B8"/>
    <w:rsid w:val="489F2FD7"/>
    <w:rsid w:val="49460F36"/>
    <w:rsid w:val="496D6C31"/>
    <w:rsid w:val="498126DD"/>
    <w:rsid w:val="4A69389D"/>
    <w:rsid w:val="4B264182"/>
    <w:rsid w:val="4B5B1CE8"/>
    <w:rsid w:val="4BFB49C8"/>
    <w:rsid w:val="4E2D6C08"/>
    <w:rsid w:val="50151DD1"/>
    <w:rsid w:val="50306C0B"/>
    <w:rsid w:val="50AE2FA4"/>
    <w:rsid w:val="50C01D3C"/>
    <w:rsid w:val="50CF1F80"/>
    <w:rsid w:val="515A3F3F"/>
    <w:rsid w:val="51960CEF"/>
    <w:rsid w:val="51F85506"/>
    <w:rsid w:val="53AA5AC1"/>
    <w:rsid w:val="555C4E33"/>
    <w:rsid w:val="57727B09"/>
    <w:rsid w:val="5F6C5CDC"/>
    <w:rsid w:val="5FF4555F"/>
    <w:rsid w:val="6025396A"/>
    <w:rsid w:val="60602BF4"/>
    <w:rsid w:val="60765774"/>
    <w:rsid w:val="614B5652"/>
    <w:rsid w:val="616109D2"/>
    <w:rsid w:val="617A5D6B"/>
    <w:rsid w:val="618C17C7"/>
    <w:rsid w:val="61C47D2D"/>
    <w:rsid w:val="6569254B"/>
    <w:rsid w:val="66173D55"/>
    <w:rsid w:val="662B15AE"/>
    <w:rsid w:val="66300980"/>
    <w:rsid w:val="66AD0097"/>
    <w:rsid w:val="67874F0A"/>
    <w:rsid w:val="681E0786"/>
    <w:rsid w:val="68AD0E80"/>
    <w:rsid w:val="69912070"/>
    <w:rsid w:val="6DF72250"/>
    <w:rsid w:val="6E1B45FE"/>
    <w:rsid w:val="6E865F1C"/>
    <w:rsid w:val="70691651"/>
    <w:rsid w:val="714F7929"/>
    <w:rsid w:val="71F35178"/>
    <w:rsid w:val="74220495"/>
    <w:rsid w:val="7480340D"/>
    <w:rsid w:val="74BB2697"/>
    <w:rsid w:val="761424BB"/>
    <w:rsid w:val="7620613A"/>
    <w:rsid w:val="76562678"/>
    <w:rsid w:val="76A71125"/>
    <w:rsid w:val="78A21BA4"/>
    <w:rsid w:val="7A106FE1"/>
    <w:rsid w:val="7A592736"/>
    <w:rsid w:val="7AF41E13"/>
    <w:rsid w:val="7B0F2823"/>
    <w:rsid w:val="7B996D81"/>
    <w:rsid w:val="7CC85951"/>
    <w:rsid w:val="7D16490F"/>
    <w:rsid w:val="7D250F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2">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2"/>
    <w:basedOn w:val="1"/>
    <w:next w:val="1"/>
    <w:link w:val="27"/>
    <w:unhideWhenUsed/>
    <w:qFormat/>
    <w:uiPriority w:val="0"/>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4">
    <w:name w:val="heading 3"/>
    <w:basedOn w:val="1"/>
    <w:next w:val="1"/>
    <w:link w:val="28"/>
    <w:semiHidden/>
    <w:unhideWhenUsed/>
    <w:qFormat/>
    <w:uiPriority w:val="0"/>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29"/>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30"/>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31"/>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48"/>
    <w:qFormat/>
    <w:uiPriority w:val="0"/>
    <w:pPr>
      <w:adjustRightInd/>
      <w:snapToGrid/>
      <w:spacing w:after="0"/>
      <w:ind w:firstLine="420"/>
    </w:pPr>
    <w:rPr>
      <w:rFonts w:ascii="Times New Roman" w:hAnsi="Times New Roman" w:eastAsia="宋体"/>
      <w:sz w:val="20"/>
      <w:szCs w:val="20"/>
    </w:rPr>
  </w:style>
  <w:style w:type="paragraph" w:styleId="12">
    <w:name w:val="Body Text"/>
    <w:basedOn w:val="1"/>
    <w:link w:val="50"/>
    <w:semiHidden/>
    <w:unhideWhenUsed/>
    <w:qFormat/>
    <w:uiPriority w:val="99"/>
    <w:pPr>
      <w:spacing w:after="120"/>
    </w:pPr>
  </w:style>
  <w:style w:type="paragraph" w:styleId="13">
    <w:name w:val="Balloon Text"/>
    <w:basedOn w:val="1"/>
    <w:link w:val="53"/>
    <w:semiHidden/>
    <w:unhideWhenUsed/>
    <w:qFormat/>
    <w:uiPriority w:val="99"/>
    <w:pPr>
      <w:spacing w:after="0"/>
    </w:pPr>
    <w:rPr>
      <w:sz w:val="18"/>
      <w:szCs w:val="18"/>
    </w:rPr>
  </w:style>
  <w:style w:type="paragraph" w:styleId="14">
    <w:name w:val="footer"/>
    <w:basedOn w:val="1"/>
    <w:link w:val="45"/>
    <w:unhideWhenUsed/>
    <w:qFormat/>
    <w:uiPriority w:val="99"/>
    <w:pPr>
      <w:tabs>
        <w:tab w:val="center" w:pos="4153"/>
        <w:tab w:val="right" w:pos="8306"/>
      </w:tabs>
    </w:pPr>
    <w:rPr>
      <w:sz w:val="18"/>
      <w:szCs w:val="18"/>
    </w:rPr>
  </w:style>
  <w:style w:type="paragraph" w:styleId="15">
    <w:name w:val="header"/>
    <w:basedOn w:val="1"/>
    <w:link w:val="44"/>
    <w:unhideWhenUsed/>
    <w:qFormat/>
    <w:uiPriority w:val="99"/>
    <w:pPr>
      <w:tabs>
        <w:tab w:val="center" w:pos="4153"/>
        <w:tab w:val="right" w:pos="8306"/>
      </w:tabs>
      <w:jc w:val="center"/>
    </w:pPr>
    <w:rPr>
      <w:sz w:val="18"/>
      <w:szCs w:val="18"/>
    </w:rPr>
  </w:style>
  <w:style w:type="paragraph" w:styleId="16">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Body Text 2"/>
    <w:basedOn w:val="1"/>
    <w:link w:val="46"/>
    <w:qFormat/>
    <w:uiPriority w:val="0"/>
    <w:pPr>
      <w:spacing w:after="120" w:line="480" w:lineRule="auto"/>
    </w:pPr>
  </w:style>
  <w:style w:type="paragraph" w:styleId="18">
    <w:name w:val="HTML Preformatted"/>
    <w:basedOn w:val="1"/>
    <w:link w:val="4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9">
    <w:name w:val="Normal (Web)"/>
    <w:basedOn w:val="1"/>
    <w:unhideWhenUsed/>
    <w:qFormat/>
    <w:uiPriority w:val="99"/>
    <w:pPr>
      <w:spacing w:before="100" w:beforeAutospacing="1" w:after="100" w:afterAutospacing="1"/>
    </w:pPr>
    <w:rPr>
      <w:sz w:val="24"/>
    </w:rPr>
  </w:style>
  <w:style w:type="paragraph" w:styleId="20">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Body Text First Indent"/>
    <w:basedOn w:val="12"/>
    <w:link w:val="51"/>
    <w:unhideWhenUsed/>
    <w:qFormat/>
    <w:uiPriority w:val="0"/>
    <w:pPr>
      <w:ind w:firstLine="420" w:firstLineChars="100"/>
    </w:pPr>
  </w:style>
  <w:style w:type="table" w:styleId="23">
    <w:name w:val="Table Grid"/>
    <w:basedOn w:val="2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customStyle="1" w:styleId="26">
    <w:name w:val="标题 1 Char"/>
    <w:basedOn w:val="24"/>
    <w:link w:val="2"/>
    <w:qFormat/>
    <w:uiPriority w:val="9"/>
    <w:rPr>
      <w:rFonts w:asciiTheme="majorHAnsi" w:hAnsiTheme="majorHAnsi" w:eastAsiaTheme="majorEastAsia" w:cstheme="majorBidi"/>
      <w:color w:val="376092" w:themeColor="accent1" w:themeShade="BF"/>
      <w:sz w:val="48"/>
      <w:szCs w:val="48"/>
    </w:rPr>
  </w:style>
  <w:style w:type="character" w:customStyle="1" w:styleId="27">
    <w:name w:val="标题 2 Char"/>
    <w:basedOn w:val="24"/>
    <w:link w:val="3"/>
    <w:qFormat/>
    <w:uiPriority w:val="0"/>
    <w:rPr>
      <w:rFonts w:asciiTheme="majorHAnsi" w:hAnsiTheme="majorHAnsi" w:eastAsiaTheme="majorEastAsia" w:cstheme="majorBidi"/>
      <w:color w:val="376092" w:themeColor="accent1" w:themeShade="BF"/>
      <w:sz w:val="40"/>
      <w:szCs w:val="40"/>
    </w:rPr>
  </w:style>
  <w:style w:type="character" w:customStyle="1" w:styleId="28">
    <w:name w:val="标题 3 Char"/>
    <w:basedOn w:val="24"/>
    <w:link w:val="4"/>
    <w:semiHidden/>
    <w:qFormat/>
    <w:uiPriority w:val="0"/>
    <w:rPr>
      <w:rFonts w:asciiTheme="majorHAnsi" w:hAnsiTheme="majorHAnsi" w:eastAsiaTheme="majorEastAsia" w:cstheme="majorBidi"/>
      <w:color w:val="376092" w:themeColor="accent1" w:themeShade="BF"/>
      <w:sz w:val="32"/>
      <w:szCs w:val="32"/>
    </w:rPr>
  </w:style>
  <w:style w:type="character" w:customStyle="1" w:styleId="29">
    <w:name w:val="标题 4 Char"/>
    <w:basedOn w:val="24"/>
    <w:link w:val="5"/>
    <w:semiHidden/>
    <w:qFormat/>
    <w:uiPriority w:val="9"/>
    <w:rPr>
      <w:rFonts w:cstheme="majorBidi"/>
      <w:color w:val="376092" w:themeColor="accent1" w:themeShade="BF"/>
      <w:sz w:val="28"/>
      <w:szCs w:val="28"/>
    </w:rPr>
  </w:style>
  <w:style w:type="character" w:customStyle="1" w:styleId="30">
    <w:name w:val="标题 5 Char"/>
    <w:basedOn w:val="24"/>
    <w:link w:val="6"/>
    <w:semiHidden/>
    <w:qFormat/>
    <w:uiPriority w:val="9"/>
    <w:rPr>
      <w:rFonts w:cstheme="majorBidi"/>
      <w:color w:val="376092" w:themeColor="accent1" w:themeShade="BF"/>
      <w:sz w:val="24"/>
      <w:szCs w:val="24"/>
    </w:rPr>
  </w:style>
  <w:style w:type="character" w:customStyle="1" w:styleId="31">
    <w:name w:val="标题 6 Char"/>
    <w:basedOn w:val="24"/>
    <w:link w:val="7"/>
    <w:semiHidden/>
    <w:qFormat/>
    <w:uiPriority w:val="9"/>
    <w:rPr>
      <w:rFonts w:cstheme="majorBidi"/>
      <w:b/>
      <w:bCs/>
      <w:color w:val="376092" w:themeColor="accent1" w:themeShade="BF"/>
    </w:rPr>
  </w:style>
  <w:style w:type="character" w:customStyle="1" w:styleId="32">
    <w:name w:val="标题 7 Char"/>
    <w:basedOn w:val="2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Char"/>
    <w:basedOn w:val="2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Char"/>
    <w:basedOn w:val="2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Char"/>
    <w:basedOn w:val="24"/>
    <w:link w:val="20"/>
    <w:qFormat/>
    <w:uiPriority w:val="10"/>
    <w:rPr>
      <w:rFonts w:asciiTheme="majorHAnsi" w:hAnsiTheme="majorHAnsi" w:eastAsiaTheme="majorEastAsia" w:cstheme="majorBidi"/>
      <w:spacing w:val="-10"/>
      <w:kern w:val="28"/>
      <w:sz w:val="56"/>
      <w:szCs w:val="56"/>
    </w:rPr>
  </w:style>
  <w:style w:type="character" w:customStyle="1" w:styleId="36">
    <w:name w:val="副标题 Char"/>
    <w:basedOn w:val="24"/>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Char"/>
    <w:basedOn w:val="24"/>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99"/>
    <w:pPr>
      <w:ind w:left="720"/>
      <w:contextualSpacing/>
    </w:pPr>
  </w:style>
  <w:style w:type="character" w:customStyle="1" w:styleId="40">
    <w:name w:val="Intense Emphasis"/>
    <w:basedOn w:val="24"/>
    <w:qFormat/>
    <w:uiPriority w:val="21"/>
    <w:rPr>
      <w:i/>
      <w:iCs/>
      <w:color w:val="376092" w:themeColor="accent1" w:themeShade="BF"/>
    </w:rPr>
  </w:style>
  <w:style w:type="paragraph" w:styleId="41">
    <w:name w:val="Intense Quote"/>
    <w:basedOn w:val="1"/>
    <w:next w:val="1"/>
    <w:link w:val="4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2">
    <w:name w:val="明显引用 Char"/>
    <w:basedOn w:val="24"/>
    <w:link w:val="41"/>
    <w:qFormat/>
    <w:uiPriority w:val="30"/>
    <w:rPr>
      <w:i/>
      <w:iCs/>
      <w:color w:val="376092" w:themeColor="accent1" w:themeShade="BF"/>
    </w:rPr>
  </w:style>
  <w:style w:type="character" w:customStyle="1" w:styleId="43">
    <w:name w:val="Intense Reference"/>
    <w:basedOn w:val="24"/>
    <w:qFormat/>
    <w:uiPriority w:val="32"/>
    <w:rPr>
      <w:b/>
      <w:bCs/>
      <w:smallCaps/>
      <w:color w:val="376092" w:themeColor="accent1" w:themeShade="BF"/>
      <w:spacing w:val="5"/>
    </w:rPr>
  </w:style>
  <w:style w:type="character" w:customStyle="1" w:styleId="44">
    <w:name w:val="页眉 Char"/>
    <w:basedOn w:val="24"/>
    <w:link w:val="15"/>
    <w:qFormat/>
    <w:uiPriority w:val="99"/>
    <w:rPr>
      <w:sz w:val="18"/>
      <w:szCs w:val="18"/>
    </w:rPr>
  </w:style>
  <w:style w:type="character" w:customStyle="1" w:styleId="45">
    <w:name w:val="页脚 Char"/>
    <w:basedOn w:val="24"/>
    <w:link w:val="14"/>
    <w:qFormat/>
    <w:uiPriority w:val="99"/>
    <w:rPr>
      <w:sz w:val="18"/>
      <w:szCs w:val="18"/>
    </w:rPr>
  </w:style>
  <w:style w:type="character" w:customStyle="1" w:styleId="46">
    <w:name w:val="正文文本 2 Char"/>
    <w:basedOn w:val="24"/>
    <w:link w:val="17"/>
    <w:qFormat/>
    <w:uiPriority w:val="0"/>
    <w:rPr>
      <w:rFonts w:ascii="Tahoma" w:hAnsi="Tahoma" w:eastAsia="微软雅黑" w:cs="Times New Roman"/>
      <w:kern w:val="0"/>
      <w:sz w:val="22"/>
    </w:rPr>
  </w:style>
  <w:style w:type="paragraph" w:customStyle="1" w:styleId="47">
    <w:name w:val="null3"/>
    <w:qFormat/>
    <w:uiPriority w:val="0"/>
    <w:rPr>
      <w:rFonts w:hint="eastAsia" w:ascii="Calibri" w:hAnsi="Calibri" w:eastAsia="宋体" w:cs="Times New Roman"/>
      <w:kern w:val="0"/>
      <w:sz w:val="20"/>
      <w:szCs w:val="20"/>
      <w:lang w:val="en-US" w:eastAsia="zh-CN" w:bidi="ar-SA"/>
    </w:rPr>
  </w:style>
  <w:style w:type="character" w:customStyle="1" w:styleId="48">
    <w:name w:val="正文缩进 Char"/>
    <w:link w:val="11"/>
    <w:qFormat/>
    <w:uiPriority w:val="0"/>
    <w:rPr>
      <w:rFonts w:ascii="Times New Roman" w:hAnsi="Times New Roman" w:eastAsia="宋体" w:cs="Times New Roman"/>
      <w:kern w:val="0"/>
      <w:sz w:val="20"/>
      <w:szCs w:val="20"/>
    </w:rPr>
  </w:style>
  <w:style w:type="character" w:customStyle="1" w:styleId="49">
    <w:name w:val="HTML 预设格式 Char"/>
    <w:basedOn w:val="24"/>
    <w:link w:val="18"/>
    <w:qFormat/>
    <w:uiPriority w:val="0"/>
    <w:rPr>
      <w:rFonts w:ascii="宋体" w:hAnsi="宋体" w:eastAsia="宋体" w:cs="Times New Roman"/>
      <w:kern w:val="0"/>
      <w:sz w:val="24"/>
      <w:szCs w:val="24"/>
    </w:rPr>
  </w:style>
  <w:style w:type="character" w:customStyle="1" w:styleId="50">
    <w:name w:val="正文文本 Char"/>
    <w:basedOn w:val="24"/>
    <w:link w:val="12"/>
    <w:semiHidden/>
    <w:qFormat/>
    <w:uiPriority w:val="99"/>
    <w:rPr>
      <w:rFonts w:ascii="Tahoma" w:hAnsi="Tahoma" w:eastAsia="微软雅黑" w:cs="Times New Roman"/>
      <w:kern w:val="0"/>
      <w:sz w:val="22"/>
    </w:rPr>
  </w:style>
  <w:style w:type="character" w:customStyle="1" w:styleId="51">
    <w:name w:val="正文首行缩进 Char"/>
    <w:basedOn w:val="50"/>
    <w:link w:val="21"/>
    <w:qFormat/>
    <w:uiPriority w:val="0"/>
    <w:rPr>
      <w:rFonts w:ascii="Tahoma" w:hAnsi="Tahoma" w:eastAsia="微软雅黑" w:cs="Times New Roman"/>
      <w:kern w:val="0"/>
      <w:sz w:val="22"/>
    </w:rPr>
  </w:style>
  <w:style w:type="character" w:customStyle="1" w:styleId="52">
    <w:name w:val="font21"/>
    <w:basedOn w:val="24"/>
    <w:qFormat/>
    <w:uiPriority w:val="0"/>
    <w:rPr>
      <w:rFonts w:hint="eastAsia" w:ascii="宋体" w:hAnsi="宋体" w:eastAsia="宋体" w:cs="宋体"/>
      <w:color w:val="000000"/>
      <w:sz w:val="22"/>
      <w:szCs w:val="22"/>
      <w:u w:val="none"/>
    </w:rPr>
  </w:style>
  <w:style w:type="character" w:customStyle="1" w:styleId="53">
    <w:name w:val="批注框文本 Char"/>
    <w:basedOn w:val="24"/>
    <w:link w:val="13"/>
    <w:semiHidden/>
    <w:qFormat/>
    <w:uiPriority w:val="99"/>
    <w:rPr>
      <w:rFonts w:ascii="Tahoma" w:hAnsi="Tahoma" w:eastAsia="微软雅黑"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20</Pages>
  <Words>1665</Words>
  <Characters>1814</Characters>
  <Lines>35</Lines>
  <Paragraphs>9</Paragraphs>
  <TotalTime>454</TotalTime>
  <ScaleCrop>false</ScaleCrop>
  <LinksUpToDate>false</LinksUpToDate>
  <CharactersWithSpaces>1909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2024-07-22T08:42:00Z</dcterms:created>
  <dc:creator>Admin</dc:creator>
  <cp:lastModifiedBy>陈永秀</cp:lastModifiedBy>
  <cp:lastPrinted>2025-11-18T00:14:00Z</cp:lastPrinted>
  <dcterms:modified xsi:type="dcterms:W3CDTF">2025-12-23T09:01:06Z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C43EC02E87B540628F037DCB20D8CD71_13</vt:lpwstr>
  </property>
  <property fmtid="{D5CDD505-2E9C-101B-9397-08002B2CF9AE}" pid="4" name="KSOTemplateDocerSaveRecord">
    <vt:lpwstr>eyJoZGlkIjoiMGQwZjNhZjI0MTEwNDAxMmI2ODI4YThjZGQ0NjZhNTciLCJ1c2VySWQiOiIxNzI5NDY5MTQ3In0=</vt:lpwstr>
  </property>
</Properties>
</file>