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78EC5B">
      <w:pPr>
        <w:pStyle w:val="4"/>
        <w:jc w:val="center"/>
        <w:rPr>
          <w:rFonts w:ascii="仿宋_GB2312" w:hAnsi="仿宋_GB2312" w:eastAsia="方正小标宋简体" w:cs="仿宋_GB2312"/>
          <w:b w:val="0"/>
          <w:kern w:val="2"/>
          <w:sz w:val="32"/>
          <w:szCs w:val="32"/>
        </w:rPr>
      </w:pPr>
      <w:bookmarkStart w:id="0" w:name="_GoBack"/>
      <w:r>
        <w:rPr>
          <w:rFonts w:hint="eastAsia" w:ascii="方正小标宋简体" w:hAnsi="方正小标宋简体" w:eastAsia="方正小标宋简体" w:cs="方正小标宋简体"/>
          <w:b w:val="0"/>
          <w:kern w:val="2"/>
          <w:szCs w:val="44"/>
        </w:rPr>
        <w:t>福建省肿瘤医院调研公告</w:t>
      </w:r>
    </w:p>
    <w:p w14:paraId="184D78DB">
      <w:pPr>
        <w:widowControl/>
        <w:shd w:val="clear" w:color="auto" w:fill="FFFFFF"/>
        <w:adjustRightInd w:val="0"/>
        <w:snapToGrid w:val="0"/>
        <w:spacing w:before="158" w:beforeLines="50" w:line="590" w:lineRule="exact"/>
        <w:jc w:val="center"/>
        <w:rPr>
          <w:rFonts w:ascii="仿宋_GB2312" w:hAnsi="仿宋_GB2312" w:eastAsia="仿宋_GB2312" w:cs="仿宋_GB2312"/>
          <w:sz w:val="32"/>
          <w:szCs w:val="32"/>
        </w:rPr>
      </w:pPr>
      <w:r>
        <w:rPr>
          <w:rFonts w:hint="eastAsia" w:ascii="仿宋_GB2312" w:hAnsi="仿宋_GB2312" w:eastAsia="仿宋_GB2312" w:cs="仿宋_GB2312"/>
          <w:b/>
          <w:color w:val="000000"/>
          <w:kern w:val="0"/>
          <w:sz w:val="32"/>
          <w:szCs w:val="32"/>
          <w:shd w:val="clear" w:color="auto" w:fill="FFFFFF"/>
        </w:rPr>
        <w:t>第一部分 须知前附表</w:t>
      </w:r>
    </w:p>
    <w:tbl>
      <w:tblPr>
        <w:tblStyle w:val="11"/>
        <w:tblpPr w:leftFromText="180" w:rightFromText="180" w:vertAnchor="text" w:horzAnchor="page" w:tblpX="1852" w:tblpY="337"/>
        <w:tblOverlap w:val="never"/>
        <w:tblW w:w="8745" w:type="dxa"/>
        <w:tblInd w:w="0" w:type="dxa"/>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15" w:type="dxa"/>
          <w:left w:w="15" w:type="dxa"/>
          <w:bottom w:w="15" w:type="dxa"/>
          <w:right w:w="15" w:type="dxa"/>
        </w:tblCellMar>
      </w:tblPr>
      <w:tblGrid>
        <w:gridCol w:w="964"/>
        <w:gridCol w:w="7781"/>
      </w:tblGrid>
      <w:tr w14:paraId="03C50BAA">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549" w:hRule="atLeast"/>
        </w:trPr>
        <w:tc>
          <w:tcPr>
            <w:tcW w:w="964"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749A3642">
            <w:pPr>
              <w:pStyle w:val="9"/>
              <w:widowControl/>
              <w:spacing w:line="360" w:lineRule="atLeast"/>
              <w:jc w:val="center"/>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rPr>
              <w:t>序号</w:t>
            </w:r>
          </w:p>
        </w:tc>
        <w:tc>
          <w:tcPr>
            <w:tcW w:w="7781" w:type="dxa"/>
            <w:tcBorders>
              <w:top w:val="single" w:color="000000" w:sz="8" w:space="0"/>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769A76EB">
            <w:pPr>
              <w:widowControl/>
              <w:spacing w:line="315" w:lineRule="atLeast"/>
              <w:jc w:val="center"/>
              <w:rPr>
                <w:rFonts w:ascii="仿宋_GB2312" w:hAnsi="仿宋_GB2312" w:eastAsia="仿宋_GB2312" w:cs="仿宋_GB2312"/>
                <w:sz w:val="32"/>
                <w:szCs w:val="32"/>
              </w:rPr>
            </w:pPr>
            <w:r>
              <w:rPr>
                <w:rFonts w:hint="eastAsia" w:ascii="仿宋_GB2312" w:hAnsi="仿宋_GB2312" w:eastAsia="仿宋_GB2312" w:cs="仿宋_GB2312"/>
                <w:b/>
                <w:color w:val="000000"/>
                <w:kern w:val="0"/>
                <w:sz w:val="32"/>
                <w:szCs w:val="32"/>
              </w:rPr>
              <w:t>主　　　要　　　 内　　　 容</w:t>
            </w:r>
          </w:p>
        </w:tc>
      </w:tr>
      <w:tr w14:paraId="1EB701C8">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90"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3E98D16B">
            <w:pPr>
              <w:widowControl/>
              <w:spacing w:line="315" w:lineRule="atLeast"/>
              <w:jc w:val="center"/>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316099C0">
            <w:pPr>
              <w:widowControl/>
              <w:spacing w:line="315" w:lineRule="atLeast"/>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项目名称：</w:t>
            </w:r>
            <w:r>
              <w:rPr>
                <w:rFonts w:hint="eastAsia" w:ascii="仿宋_GB2312" w:hAnsi="仿宋_GB2312" w:eastAsia="仿宋_GB2312" w:cs="仿宋_GB2312"/>
                <w:color w:val="000000"/>
                <w:kern w:val="0"/>
                <w:sz w:val="32"/>
                <w:szCs w:val="32"/>
                <w:lang w:eastAsia="zh-CN"/>
              </w:rPr>
              <w:t>医院数据中心机房项目</w:t>
            </w:r>
          </w:p>
        </w:tc>
      </w:tr>
      <w:tr w14:paraId="1CA86901">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1444"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551FEE3B">
            <w:pPr>
              <w:widowControl/>
              <w:spacing w:line="315" w:lineRule="atLeast"/>
              <w:jc w:val="center"/>
              <w:rPr>
                <w:rFonts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2</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5456E152">
            <w:pPr>
              <w:spacing w:before="150" w:line="560" w:lineRule="exact"/>
              <w:rPr>
                <w:rFonts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调研报名时间： 202</w:t>
            </w:r>
            <w:r>
              <w:rPr>
                <w:rFonts w:hint="eastAsia" w:ascii="仿宋_GB2312" w:hAnsi="仿宋_GB2312" w:eastAsia="仿宋_GB2312" w:cs="仿宋_GB2312"/>
                <w:color w:val="000000"/>
                <w:kern w:val="0"/>
                <w:sz w:val="32"/>
                <w:szCs w:val="32"/>
                <w:highlight w:val="none"/>
                <w:lang w:val="en-US" w:eastAsia="zh-CN"/>
              </w:rPr>
              <w:t>5</w:t>
            </w:r>
            <w:r>
              <w:rPr>
                <w:rFonts w:hint="eastAsia" w:ascii="仿宋_GB2312" w:hAnsi="仿宋_GB2312" w:eastAsia="仿宋_GB2312" w:cs="仿宋_GB2312"/>
                <w:color w:val="000000"/>
                <w:kern w:val="0"/>
                <w:sz w:val="32"/>
                <w:szCs w:val="32"/>
                <w:highlight w:val="none"/>
              </w:rPr>
              <w:t xml:space="preserve"> 年</w:t>
            </w:r>
            <w:r>
              <w:rPr>
                <w:rFonts w:hint="eastAsia" w:ascii="仿宋_GB2312" w:hAnsi="仿宋_GB2312" w:eastAsia="仿宋_GB2312" w:cs="仿宋_GB2312"/>
                <w:color w:val="000000"/>
                <w:kern w:val="0"/>
                <w:sz w:val="32"/>
                <w:szCs w:val="32"/>
                <w:highlight w:val="none"/>
                <w:u w:val="single"/>
                <w:lang w:val="en-US" w:eastAsia="zh-CN"/>
              </w:rPr>
              <w:t>12</w:t>
            </w:r>
            <w:r>
              <w:rPr>
                <w:rFonts w:hint="eastAsia" w:ascii="仿宋_GB2312" w:hAnsi="仿宋_GB2312" w:eastAsia="仿宋_GB2312" w:cs="仿宋_GB2312"/>
                <w:color w:val="000000"/>
                <w:kern w:val="0"/>
                <w:sz w:val="32"/>
                <w:szCs w:val="32"/>
                <w:highlight w:val="none"/>
              </w:rPr>
              <w:t xml:space="preserve">月 </w:t>
            </w:r>
            <w:r>
              <w:rPr>
                <w:rFonts w:hint="eastAsia" w:ascii="仿宋_GB2312" w:hAnsi="仿宋_GB2312" w:eastAsia="仿宋_GB2312" w:cs="仿宋_GB2312"/>
                <w:color w:val="000000"/>
                <w:kern w:val="0"/>
                <w:sz w:val="32"/>
                <w:szCs w:val="32"/>
                <w:highlight w:val="none"/>
                <w:u w:val="single"/>
                <w:lang w:val="en-US" w:eastAsia="zh-CN"/>
              </w:rPr>
              <w:t>31</w:t>
            </w:r>
            <w:r>
              <w:rPr>
                <w:rFonts w:hint="eastAsia" w:ascii="仿宋_GB2312" w:hAnsi="仿宋_GB2312" w:eastAsia="仿宋_GB2312" w:cs="仿宋_GB2312"/>
                <w:color w:val="000000"/>
                <w:kern w:val="0"/>
                <w:sz w:val="32"/>
                <w:szCs w:val="32"/>
                <w:highlight w:val="none"/>
              </w:rPr>
              <w:t>日至202</w:t>
            </w:r>
            <w:r>
              <w:rPr>
                <w:rFonts w:hint="eastAsia" w:ascii="仿宋_GB2312" w:hAnsi="仿宋_GB2312" w:eastAsia="仿宋_GB2312" w:cs="仿宋_GB2312"/>
                <w:color w:val="000000"/>
                <w:kern w:val="0"/>
                <w:sz w:val="32"/>
                <w:szCs w:val="32"/>
                <w:highlight w:val="none"/>
                <w:lang w:val="en-US" w:eastAsia="zh-CN"/>
              </w:rPr>
              <w:t>5</w:t>
            </w:r>
            <w:r>
              <w:rPr>
                <w:rFonts w:hint="eastAsia" w:ascii="仿宋_GB2312" w:hAnsi="仿宋_GB2312" w:eastAsia="仿宋_GB2312" w:cs="仿宋_GB2312"/>
                <w:color w:val="000000"/>
                <w:kern w:val="0"/>
                <w:sz w:val="32"/>
                <w:szCs w:val="32"/>
                <w:highlight w:val="none"/>
              </w:rPr>
              <w:t xml:space="preserve"> 年 </w:t>
            </w:r>
            <w:r>
              <w:rPr>
                <w:rFonts w:hint="eastAsia" w:ascii="仿宋_GB2312" w:hAnsi="仿宋_GB2312" w:eastAsia="仿宋_GB2312" w:cs="仿宋_GB2312"/>
                <w:color w:val="000000"/>
                <w:kern w:val="0"/>
                <w:sz w:val="32"/>
                <w:szCs w:val="32"/>
                <w:highlight w:val="none"/>
                <w:u w:val="single"/>
                <w:lang w:val="en-US" w:eastAsia="zh-CN"/>
              </w:rPr>
              <w:t>1</w:t>
            </w:r>
            <w:r>
              <w:rPr>
                <w:rFonts w:hint="eastAsia" w:ascii="仿宋_GB2312" w:hAnsi="仿宋_GB2312" w:eastAsia="仿宋_GB2312" w:cs="仿宋_GB2312"/>
                <w:color w:val="000000"/>
                <w:kern w:val="0"/>
                <w:sz w:val="32"/>
                <w:szCs w:val="32"/>
                <w:highlight w:val="none"/>
              </w:rPr>
              <w:t>月</w:t>
            </w:r>
            <w:r>
              <w:rPr>
                <w:rFonts w:hint="eastAsia" w:ascii="仿宋_GB2312" w:hAnsi="仿宋_GB2312" w:eastAsia="仿宋_GB2312" w:cs="仿宋_GB2312"/>
                <w:color w:val="000000"/>
                <w:kern w:val="0"/>
                <w:sz w:val="32"/>
                <w:szCs w:val="32"/>
                <w:highlight w:val="none"/>
                <w:u w:val="single"/>
                <w:lang w:val="en-US" w:eastAsia="zh-CN"/>
              </w:rPr>
              <w:t>7</w:t>
            </w:r>
            <w:r>
              <w:rPr>
                <w:rFonts w:hint="eastAsia" w:ascii="仿宋_GB2312" w:hAnsi="仿宋_GB2312" w:eastAsia="仿宋_GB2312" w:cs="仿宋_GB2312"/>
                <w:color w:val="000000"/>
                <w:kern w:val="0"/>
                <w:sz w:val="32"/>
                <w:szCs w:val="32"/>
                <w:highlight w:val="none"/>
              </w:rPr>
              <w:t xml:space="preserve">日 </w:t>
            </w:r>
            <w:r>
              <w:rPr>
                <w:rFonts w:hint="eastAsia" w:ascii="仿宋_GB2312" w:hAnsi="仿宋_GB2312" w:eastAsia="仿宋_GB2312" w:cs="仿宋_GB2312"/>
                <w:color w:val="000000"/>
                <w:spacing w:val="-8"/>
                <w:kern w:val="0"/>
                <w:sz w:val="32"/>
                <w:szCs w:val="32"/>
                <w:highlight w:val="none"/>
                <w:shd w:val="clear" w:color="auto" w:fill="FFFFFF"/>
              </w:rPr>
              <w:t>(节假日除外)8：00-12：00或14：00-17：00(北京时间）</w:t>
            </w:r>
          </w:p>
          <w:p w14:paraId="2C197A63">
            <w:pPr>
              <w:widowControl/>
              <w:spacing w:line="315" w:lineRule="atLeast"/>
              <w:rPr>
                <w:rFonts w:ascii="仿宋_GB2312" w:hAnsi="仿宋_GB2312" w:eastAsia="仿宋_GB2312" w:cs="仿宋_GB2312"/>
                <w:color w:val="000000"/>
                <w:kern w:val="0"/>
                <w:sz w:val="32"/>
                <w:szCs w:val="32"/>
                <w:u w:val="single"/>
              </w:rPr>
            </w:pPr>
            <w:r>
              <w:rPr>
                <w:rFonts w:hint="eastAsia" w:ascii="仿宋_GB2312" w:hAnsi="仿宋_GB2312" w:eastAsia="仿宋_GB2312" w:cs="仿宋_GB2312"/>
                <w:color w:val="000000"/>
                <w:kern w:val="0"/>
                <w:sz w:val="32"/>
                <w:szCs w:val="32"/>
                <w:highlight w:val="none"/>
              </w:rPr>
              <w:t>调研会时间： 202</w:t>
            </w:r>
            <w:r>
              <w:rPr>
                <w:rFonts w:hint="eastAsia" w:ascii="仿宋_GB2312" w:hAnsi="仿宋_GB2312" w:eastAsia="仿宋_GB2312" w:cs="仿宋_GB2312"/>
                <w:color w:val="000000"/>
                <w:kern w:val="0"/>
                <w:sz w:val="32"/>
                <w:szCs w:val="32"/>
                <w:highlight w:val="none"/>
                <w:lang w:val="en-US" w:eastAsia="zh-CN"/>
              </w:rPr>
              <w:t>6</w:t>
            </w:r>
            <w:r>
              <w:rPr>
                <w:rFonts w:hint="eastAsia" w:ascii="仿宋_GB2312" w:hAnsi="仿宋_GB2312" w:eastAsia="仿宋_GB2312" w:cs="仿宋_GB2312"/>
                <w:color w:val="000000"/>
                <w:kern w:val="0"/>
                <w:sz w:val="32"/>
                <w:szCs w:val="32"/>
                <w:highlight w:val="none"/>
              </w:rPr>
              <w:t xml:space="preserve"> 年</w:t>
            </w:r>
            <w:r>
              <w:rPr>
                <w:rFonts w:hint="eastAsia" w:ascii="仿宋_GB2312" w:hAnsi="仿宋_GB2312" w:eastAsia="仿宋_GB2312" w:cs="仿宋_GB2312"/>
                <w:color w:val="000000"/>
                <w:kern w:val="0"/>
                <w:sz w:val="32"/>
                <w:szCs w:val="32"/>
                <w:highlight w:val="none"/>
                <w:u w:val="single"/>
                <w:lang w:val="en-US" w:eastAsia="zh-CN"/>
              </w:rPr>
              <w:t>1</w:t>
            </w:r>
            <w:r>
              <w:rPr>
                <w:rFonts w:hint="eastAsia" w:ascii="仿宋_GB2312" w:hAnsi="仿宋_GB2312" w:eastAsia="仿宋_GB2312" w:cs="仿宋_GB2312"/>
                <w:color w:val="000000"/>
                <w:kern w:val="0"/>
                <w:sz w:val="32"/>
                <w:szCs w:val="32"/>
                <w:highlight w:val="none"/>
              </w:rPr>
              <w:t xml:space="preserve">月 </w:t>
            </w:r>
            <w:r>
              <w:rPr>
                <w:rFonts w:hint="eastAsia" w:ascii="仿宋_GB2312" w:hAnsi="仿宋_GB2312" w:eastAsia="仿宋_GB2312" w:cs="仿宋_GB2312"/>
                <w:color w:val="000000"/>
                <w:kern w:val="0"/>
                <w:sz w:val="32"/>
                <w:szCs w:val="32"/>
                <w:highlight w:val="none"/>
                <w:u w:val="single"/>
                <w:lang w:val="en-US" w:eastAsia="zh-CN"/>
              </w:rPr>
              <w:t>8</w:t>
            </w:r>
            <w:r>
              <w:rPr>
                <w:rFonts w:hint="eastAsia" w:ascii="仿宋_GB2312" w:hAnsi="仿宋_GB2312" w:eastAsia="仿宋_GB2312" w:cs="仿宋_GB2312"/>
                <w:color w:val="000000"/>
                <w:kern w:val="0"/>
                <w:sz w:val="32"/>
                <w:szCs w:val="32"/>
                <w:highlight w:val="none"/>
              </w:rPr>
              <w:t xml:space="preserve">日 </w:t>
            </w:r>
            <w:r>
              <w:rPr>
                <w:rFonts w:hint="eastAsia" w:ascii="仿宋_GB2312" w:hAnsi="仿宋_GB2312" w:eastAsia="仿宋_GB2312" w:cs="仿宋_GB2312"/>
                <w:color w:val="000000"/>
                <w:kern w:val="0"/>
                <w:sz w:val="32"/>
                <w:szCs w:val="32"/>
                <w:highlight w:val="none"/>
                <w:lang w:val="en-US" w:eastAsia="zh-CN"/>
              </w:rPr>
              <w:t>9</w:t>
            </w:r>
            <w:r>
              <w:rPr>
                <w:rFonts w:hint="eastAsia" w:ascii="仿宋_GB2312" w:hAnsi="仿宋_GB2312" w:eastAsia="仿宋_GB2312" w:cs="仿宋_GB2312"/>
                <w:color w:val="000000"/>
                <w:kern w:val="0"/>
                <w:sz w:val="32"/>
                <w:szCs w:val="32"/>
                <w:highlight w:val="none"/>
              </w:rPr>
              <w:t>:</w:t>
            </w:r>
            <w:r>
              <w:rPr>
                <w:rFonts w:hint="eastAsia" w:ascii="仿宋_GB2312" w:hAnsi="仿宋_GB2312" w:eastAsia="仿宋_GB2312" w:cs="仿宋_GB2312"/>
                <w:color w:val="000000"/>
                <w:kern w:val="0"/>
                <w:sz w:val="32"/>
                <w:szCs w:val="32"/>
                <w:highlight w:val="none"/>
                <w:lang w:val="en-US" w:eastAsia="zh-CN"/>
              </w:rPr>
              <w:t>0</w:t>
            </w:r>
            <w:r>
              <w:rPr>
                <w:rFonts w:hint="eastAsia" w:ascii="仿宋_GB2312" w:hAnsi="仿宋_GB2312" w:eastAsia="仿宋_GB2312" w:cs="仿宋_GB2312"/>
                <w:color w:val="000000"/>
                <w:kern w:val="0"/>
                <w:sz w:val="32"/>
                <w:szCs w:val="32"/>
                <w:highlight w:val="none"/>
              </w:rPr>
              <w:t>0</w:t>
            </w:r>
          </w:p>
        </w:tc>
      </w:tr>
      <w:tr w14:paraId="47CB7082">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685"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29002AEE">
            <w:pPr>
              <w:widowControl/>
              <w:spacing w:line="315" w:lineRule="atLeast"/>
              <w:jc w:val="center"/>
              <w:rPr>
                <w:rFonts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3</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2B54CD5A">
            <w:pPr>
              <w:widowControl/>
              <w:spacing w:line="315" w:lineRule="atLeast"/>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t>文件正本</w:t>
            </w:r>
            <w:r>
              <w:rPr>
                <w:rFonts w:hint="eastAsia" w:ascii="仿宋_GB2312" w:hAnsi="仿宋_GB2312" w:eastAsia="仿宋_GB2312" w:cs="仿宋_GB2312"/>
                <w:bCs/>
                <w:color w:val="000000"/>
                <w:sz w:val="32"/>
                <w:szCs w:val="32"/>
                <w:u w:val="single"/>
              </w:rPr>
              <w:t>壹</w:t>
            </w:r>
            <w:r>
              <w:rPr>
                <w:rFonts w:hint="eastAsia" w:ascii="仿宋_GB2312" w:hAnsi="仿宋_GB2312" w:eastAsia="仿宋_GB2312" w:cs="仿宋_GB2312"/>
                <w:color w:val="000000"/>
                <w:sz w:val="32"/>
                <w:szCs w:val="32"/>
              </w:rPr>
              <w:t>份,副本</w:t>
            </w:r>
            <w:r>
              <w:rPr>
                <w:rFonts w:hint="eastAsia" w:ascii="仿宋_GB2312" w:hAnsi="仿宋_GB2312" w:eastAsia="仿宋_GB2312" w:cs="仿宋_GB2312"/>
                <w:bCs/>
                <w:color w:val="000000"/>
                <w:sz w:val="32"/>
                <w:szCs w:val="32"/>
                <w:u w:val="single"/>
              </w:rPr>
              <w:t>壹</w:t>
            </w:r>
            <w:r>
              <w:rPr>
                <w:rFonts w:hint="eastAsia" w:ascii="仿宋_GB2312" w:hAnsi="仿宋_GB2312" w:eastAsia="仿宋_GB2312" w:cs="仿宋_GB2312"/>
                <w:color w:val="000000"/>
                <w:sz w:val="32"/>
                <w:szCs w:val="32"/>
              </w:rPr>
              <w:t>份胶装并密封加盖投标人公章。文件未胶装将视为无效。</w:t>
            </w:r>
          </w:p>
        </w:tc>
      </w:tr>
      <w:tr w14:paraId="3D32CA2D">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631"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4645200A">
            <w:pPr>
              <w:widowControl/>
              <w:spacing w:line="315" w:lineRule="atLeast"/>
              <w:jc w:val="center"/>
              <w:rPr>
                <w:rFonts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4</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5BFA5DEA">
            <w:pPr>
              <w:widowControl/>
              <w:spacing w:line="315" w:lineRule="atLeast"/>
              <w:rPr>
                <w:rFonts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文件递交处：福建省肿瘤医院网络技术中心</w:t>
            </w:r>
          </w:p>
        </w:tc>
      </w:tr>
      <w:tr w14:paraId="08E36758">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631"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4943B597">
            <w:pPr>
              <w:widowControl/>
              <w:spacing w:line="315" w:lineRule="atLeast"/>
              <w:jc w:val="center"/>
              <w:rPr>
                <w:rFonts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5</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149B9002">
            <w:pPr>
              <w:widowControl/>
              <w:spacing w:line="315" w:lineRule="atLeast"/>
              <w:rPr>
                <w:rFonts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上述时间、地点如有变动，以单位届时通知为准。</w:t>
            </w:r>
          </w:p>
        </w:tc>
      </w:tr>
      <w:tr w14:paraId="6200F768">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1090"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3CD314A5">
            <w:pPr>
              <w:widowControl/>
              <w:spacing w:line="315" w:lineRule="atLeas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6</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775B0E81">
            <w:pPr>
              <w:widowControl/>
              <w:shd w:val="clear" w:color="auto" w:fill="FFFFFF"/>
              <w:adjustRightInd w:val="0"/>
              <w:snapToGrid w:val="0"/>
              <w:rPr>
                <w:rFonts w:ascii="仿宋_GB2312" w:hAnsi="仿宋_GB2312" w:eastAsia="仿宋_GB2312" w:cs="仿宋_GB2312"/>
                <w:sz w:val="32"/>
                <w:szCs w:val="32"/>
              </w:rPr>
            </w:pPr>
            <w:r>
              <w:rPr>
                <w:rFonts w:hint="eastAsia" w:ascii="仿宋_GB2312" w:hAnsi="仿宋_GB2312" w:eastAsia="仿宋_GB2312" w:cs="仿宋_GB2312"/>
                <w:bCs/>
                <w:color w:val="000000"/>
                <w:kern w:val="0"/>
                <w:sz w:val="32"/>
                <w:szCs w:val="32"/>
                <w:shd w:val="clear" w:color="auto" w:fill="FFFFFF"/>
              </w:rPr>
              <w:t>采购报名、采购调研等采购过程中有任何异议，可联系我院监督科室。电话：83660063-8407；83660063-8467。</w:t>
            </w:r>
          </w:p>
        </w:tc>
      </w:tr>
    </w:tbl>
    <w:p w14:paraId="40B82978">
      <w:pPr>
        <w:widowControl/>
        <w:shd w:val="clear" w:color="auto" w:fill="FFFFFF"/>
        <w:spacing w:line="336" w:lineRule="auto"/>
        <w:rPr>
          <w:rFonts w:ascii="仿宋_GB2312" w:hAnsi="仿宋_GB2312" w:eastAsia="仿宋_GB2312" w:cs="仿宋_GB2312"/>
          <w:bCs/>
          <w:color w:val="000000"/>
          <w:kern w:val="0"/>
          <w:sz w:val="32"/>
          <w:szCs w:val="32"/>
          <w:shd w:val="clear" w:color="auto" w:fill="FFFFFF"/>
        </w:rPr>
      </w:pPr>
    </w:p>
    <w:p w14:paraId="70DC126B">
      <w:pPr>
        <w:widowControl/>
        <w:shd w:val="clear" w:color="auto" w:fill="FFFFFF"/>
        <w:spacing w:line="336" w:lineRule="auto"/>
        <w:rPr>
          <w:rFonts w:ascii="仿宋_GB2312" w:hAnsi="仿宋_GB2312" w:eastAsia="仿宋_GB2312" w:cs="仿宋_GB2312"/>
          <w:bCs/>
          <w:color w:val="000000"/>
          <w:kern w:val="0"/>
          <w:sz w:val="32"/>
          <w:szCs w:val="32"/>
          <w:shd w:val="clear" w:color="auto" w:fill="FFFFFF"/>
        </w:rPr>
      </w:pPr>
      <w:r>
        <w:rPr>
          <w:rFonts w:hint="eastAsia" w:ascii="仿宋_GB2312" w:hAnsi="仿宋_GB2312" w:eastAsia="仿宋_GB2312" w:cs="仿宋_GB2312"/>
          <w:bCs/>
          <w:color w:val="000000"/>
          <w:kern w:val="0"/>
          <w:sz w:val="32"/>
          <w:szCs w:val="32"/>
          <w:shd w:val="clear" w:color="auto" w:fill="FFFFFF"/>
        </w:rPr>
        <w:t xml:space="preserve">地　址： 福建省福州市福马路420号 </w:t>
      </w:r>
    </w:p>
    <w:p w14:paraId="58FB15E7">
      <w:pPr>
        <w:widowControl/>
        <w:shd w:val="clear" w:color="auto" w:fill="FFFFFF"/>
        <w:spacing w:line="336" w:lineRule="auto"/>
        <w:ind w:left="1260" w:firstLine="420"/>
        <w:rPr>
          <w:rFonts w:ascii="仿宋_GB2312" w:hAnsi="仿宋_GB2312" w:eastAsia="仿宋_GB2312" w:cs="仿宋_GB2312"/>
          <w:bCs/>
          <w:sz w:val="32"/>
          <w:szCs w:val="32"/>
        </w:rPr>
      </w:pPr>
      <w:r>
        <w:rPr>
          <w:rFonts w:hint="eastAsia" w:ascii="仿宋_GB2312" w:hAnsi="仿宋_GB2312" w:eastAsia="仿宋_GB2312" w:cs="仿宋_GB2312"/>
          <w:bCs/>
          <w:color w:val="000000"/>
          <w:kern w:val="0"/>
          <w:sz w:val="32"/>
          <w:szCs w:val="32"/>
          <w:shd w:val="clear" w:color="auto" w:fill="FFFFFF"/>
        </w:rPr>
        <w:t>福建省肿瘤医院科研楼四楼网络技术中心</w:t>
      </w:r>
    </w:p>
    <w:p w14:paraId="6970D9FF">
      <w:pPr>
        <w:widowControl/>
        <w:shd w:val="clear" w:color="auto" w:fill="FFFFFF"/>
        <w:spacing w:line="440" w:lineRule="atLeast"/>
        <w:rPr>
          <w:rFonts w:ascii="仿宋_GB2312" w:hAnsi="仿宋_GB2312" w:eastAsia="仿宋_GB2312" w:cs="仿宋_GB2312"/>
          <w:bCs/>
          <w:sz w:val="32"/>
          <w:szCs w:val="32"/>
        </w:rPr>
      </w:pPr>
      <w:r>
        <w:rPr>
          <w:rFonts w:hint="eastAsia" w:ascii="仿宋_GB2312" w:hAnsi="仿宋_GB2312" w:eastAsia="仿宋_GB2312" w:cs="仿宋_GB2312"/>
          <w:bCs/>
          <w:color w:val="000000"/>
          <w:kern w:val="0"/>
          <w:sz w:val="32"/>
          <w:szCs w:val="32"/>
          <w:shd w:val="clear" w:color="auto" w:fill="FFFFFF"/>
        </w:rPr>
        <w:t>邮　编： 350014　 </w:t>
      </w:r>
    </w:p>
    <w:p w14:paraId="0C14AFBB">
      <w:pPr>
        <w:widowControl/>
        <w:shd w:val="clear" w:color="auto" w:fill="FFFFFF"/>
        <w:spacing w:line="440" w:lineRule="atLeast"/>
        <w:rPr>
          <w:rFonts w:ascii="仿宋_GB2312" w:hAnsi="仿宋_GB2312" w:eastAsia="仿宋_GB2312" w:cs="仿宋_GB2312"/>
          <w:bCs/>
          <w:sz w:val="32"/>
          <w:szCs w:val="32"/>
        </w:rPr>
      </w:pPr>
      <w:r>
        <w:rPr>
          <w:rFonts w:hint="eastAsia" w:ascii="仿宋_GB2312" w:hAnsi="仿宋_GB2312" w:eastAsia="仿宋_GB2312" w:cs="仿宋_GB2312"/>
          <w:bCs/>
          <w:color w:val="000000"/>
          <w:kern w:val="0"/>
          <w:sz w:val="32"/>
          <w:szCs w:val="32"/>
          <w:shd w:val="clear" w:color="auto" w:fill="FFFFFF"/>
        </w:rPr>
        <w:t>报名联系电话： 0591-83660063-8822</w:t>
      </w:r>
    </w:p>
    <w:p w14:paraId="223FA4B2">
      <w:pPr>
        <w:widowControl/>
        <w:shd w:val="clear" w:color="auto" w:fill="FFFFFF"/>
        <w:spacing w:line="440" w:lineRule="atLeast"/>
      </w:pPr>
      <w:r>
        <w:rPr>
          <w:rFonts w:hint="eastAsia" w:ascii="仿宋_GB2312" w:hAnsi="仿宋_GB2312" w:eastAsia="仿宋_GB2312" w:cs="仿宋_GB2312"/>
          <w:bCs/>
          <w:color w:val="000000"/>
          <w:kern w:val="0"/>
          <w:sz w:val="32"/>
          <w:szCs w:val="32"/>
          <w:shd w:val="clear" w:color="auto" w:fill="FFFFFF"/>
        </w:rPr>
        <w:t>联系人：</w:t>
      </w:r>
      <w:r>
        <w:rPr>
          <w:rFonts w:hint="eastAsia" w:ascii="仿宋_GB2312" w:hAnsi="仿宋_GB2312" w:eastAsia="仿宋_GB2312" w:cs="仿宋_GB2312"/>
          <w:bCs/>
          <w:color w:val="000000"/>
          <w:kern w:val="0"/>
          <w:sz w:val="32"/>
          <w:szCs w:val="32"/>
          <w:shd w:val="clear" w:color="auto" w:fill="FFFFFF"/>
          <w:lang w:val="en-US" w:eastAsia="zh-CN"/>
        </w:rPr>
        <w:t>钱工、杜工、郑</w:t>
      </w:r>
      <w:r>
        <w:rPr>
          <w:rFonts w:hint="eastAsia" w:ascii="仿宋_GB2312" w:hAnsi="仿宋_GB2312" w:eastAsia="仿宋_GB2312" w:cs="仿宋_GB2312"/>
          <w:bCs/>
          <w:color w:val="000000"/>
          <w:kern w:val="0"/>
          <w:sz w:val="32"/>
          <w:szCs w:val="32"/>
          <w:shd w:val="clear" w:color="auto" w:fill="FFFFFF"/>
        </w:rPr>
        <w:t>工</w:t>
      </w:r>
      <w:r>
        <w:rPr>
          <w:rFonts w:hint="eastAsia"/>
        </w:rPr>
        <w:br w:type="page"/>
      </w:r>
    </w:p>
    <w:p w14:paraId="4A28D4DD">
      <w:pPr>
        <w:widowControl/>
        <w:shd w:val="clear" w:color="auto" w:fill="FFFFFF"/>
        <w:adjustRightInd w:val="0"/>
        <w:snapToGrid w:val="0"/>
        <w:ind w:firstLine="420"/>
        <w:jc w:val="center"/>
        <w:rPr>
          <w:rFonts w:ascii="黑体" w:hAnsi="黑体" w:eastAsia="黑体"/>
          <w:bCs/>
          <w:color w:val="000000"/>
          <w:kern w:val="0"/>
          <w:sz w:val="32"/>
          <w:szCs w:val="32"/>
          <w:shd w:val="clear" w:color="auto" w:fill="FFFFFF"/>
        </w:rPr>
      </w:pPr>
      <w:r>
        <w:rPr>
          <w:rFonts w:hint="eastAsia" w:ascii="黑体" w:hAnsi="黑体" w:eastAsia="黑体"/>
          <w:bCs/>
          <w:color w:val="000000"/>
          <w:kern w:val="0"/>
          <w:sz w:val="32"/>
          <w:szCs w:val="32"/>
          <w:shd w:val="clear" w:color="auto" w:fill="FFFFFF"/>
        </w:rPr>
        <w:t>第二部分 具体要求</w:t>
      </w:r>
    </w:p>
    <w:p w14:paraId="474CF7A4">
      <w:pPr>
        <w:widowControl/>
        <w:shd w:val="clear" w:color="auto" w:fill="FFFFFF"/>
        <w:spacing w:line="440" w:lineRule="atLeast"/>
        <w:rPr>
          <w:rFonts w:ascii="仿宋_GB2312" w:hAnsi="仿宋_GB2312" w:eastAsia="仿宋_GB2312" w:cs="仿宋_GB2312"/>
          <w:b/>
          <w:color w:val="000000"/>
          <w:kern w:val="0"/>
          <w:sz w:val="32"/>
          <w:szCs w:val="32"/>
          <w:shd w:val="clear" w:color="auto" w:fill="FFFFFF"/>
        </w:rPr>
      </w:pPr>
      <w:r>
        <w:rPr>
          <w:rFonts w:hint="eastAsia" w:ascii="仿宋_GB2312" w:hAnsi="仿宋_GB2312" w:eastAsia="仿宋_GB2312" w:cs="仿宋_GB2312"/>
          <w:b/>
          <w:color w:val="000000"/>
          <w:kern w:val="0"/>
          <w:sz w:val="32"/>
          <w:szCs w:val="32"/>
          <w:shd w:val="clear" w:color="auto" w:fill="FFFFFF"/>
        </w:rPr>
        <w:t>一、采购内容</w:t>
      </w:r>
    </w:p>
    <w:tbl>
      <w:tblPr>
        <w:tblStyle w:val="11"/>
        <w:tblpPr w:leftFromText="180" w:rightFromText="180" w:vertAnchor="text" w:horzAnchor="page" w:tblpX="2116" w:tblpY="283"/>
        <w:tblOverlap w:val="never"/>
        <w:tblW w:w="8458"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55"/>
        <w:gridCol w:w="3828"/>
        <w:gridCol w:w="1298"/>
        <w:gridCol w:w="2077"/>
      </w:tblGrid>
      <w:tr w14:paraId="6BDF50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0" w:hRule="atLeast"/>
        </w:trPr>
        <w:tc>
          <w:tcPr>
            <w:tcW w:w="1255" w:type="dxa"/>
            <w:vAlign w:val="center"/>
          </w:tcPr>
          <w:p w14:paraId="7EF1FBFB">
            <w:pPr>
              <w:widowControl/>
              <w:spacing w:after="158" w:afterLines="50"/>
              <w:jc w:val="center"/>
              <w:rPr>
                <w:rFonts w:ascii="仿宋_GB2312" w:hAnsi="仿宋_GB2312" w:eastAsia="仿宋_GB2312" w:cs="仿宋_GB2312"/>
                <w:sz w:val="28"/>
                <w:szCs w:val="28"/>
              </w:rPr>
            </w:pPr>
            <w:r>
              <w:rPr>
                <w:rFonts w:hint="eastAsia" w:ascii="仿宋_GB2312" w:hAnsi="仿宋_GB2312" w:eastAsia="仿宋_GB2312" w:cs="仿宋_GB2312"/>
                <w:color w:val="000000"/>
                <w:kern w:val="0"/>
                <w:sz w:val="28"/>
                <w:szCs w:val="28"/>
              </w:rPr>
              <w:t>合同包</w:t>
            </w:r>
          </w:p>
        </w:tc>
        <w:tc>
          <w:tcPr>
            <w:tcW w:w="3828" w:type="dxa"/>
            <w:vAlign w:val="center"/>
          </w:tcPr>
          <w:p w14:paraId="2CDCE64F">
            <w:pPr>
              <w:widowControl/>
              <w:spacing w:after="158" w:afterLines="50"/>
              <w:jc w:val="center"/>
              <w:rPr>
                <w:rFonts w:ascii="仿宋_GB2312" w:hAnsi="仿宋_GB2312" w:eastAsia="仿宋_GB2312" w:cs="仿宋_GB2312"/>
                <w:kern w:val="0"/>
                <w:sz w:val="28"/>
                <w:szCs w:val="28"/>
              </w:rPr>
            </w:pPr>
            <w:r>
              <w:rPr>
                <w:rFonts w:hint="eastAsia" w:ascii="仿宋_GB2312" w:hAnsi="仿宋_GB2312" w:eastAsia="仿宋_GB2312" w:cs="仿宋_GB2312"/>
                <w:color w:val="000000"/>
                <w:kern w:val="0"/>
                <w:sz w:val="28"/>
                <w:szCs w:val="28"/>
              </w:rPr>
              <w:t>名 称</w:t>
            </w:r>
          </w:p>
        </w:tc>
        <w:tc>
          <w:tcPr>
            <w:tcW w:w="1298" w:type="dxa"/>
            <w:vAlign w:val="center"/>
          </w:tcPr>
          <w:p w14:paraId="5DA7AF99">
            <w:pPr>
              <w:widowControl/>
              <w:spacing w:after="158" w:afterLines="50"/>
              <w:jc w:val="center"/>
              <w:rPr>
                <w:rFonts w:ascii="仿宋_GB2312" w:hAnsi="仿宋_GB2312" w:eastAsia="仿宋_GB2312" w:cs="仿宋_GB2312"/>
                <w:kern w:val="0"/>
                <w:sz w:val="28"/>
                <w:szCs w:val="28"/>
              </w:rPr>
            </w:pPr>
            <w:r>
              <w:rPr>
                <w:rFonts w:hint="eastAsia" w:ascii="仿宋_GB2312" w:hAnsi="仿宋_GB2312" w:eastAsia="仿宋_GB2312" w:cs="仿宋_GB2312"/>
                <w:color w:val="000000"/>
                <w:kern w:val="0"/>
                <w:sz w:val="28"/>
                <w:szCs w:val="28"/>
              </w:rPr>
              <w:t>数量</w:t>
            </w:r>
          </w:p>
        </w:tc>
        <w:tc>
          <w:tcPr>
            <w:tcW w:w="2077" w:type="dxa"/>
            <w:vAlign w:val="center"/>
          </w:tcPr>
          <w:p w14:paraId="3900FBE7">
            <w:pPr>
              <w:widowControl/>
              <w:spacing w:after="158" w:afterLines="50"/>
              <w:jc w:val="center"/>
              <w:rPr>
                <w:rFonts w:ascii="仿宋_GB2312" w:hAnsi="仿宋_GB2312" w:eastAsia="仿宋_GB2312" w:cs="仿宋_GB2312"/>
                <w:kern w:val="0"/>
                <w:sz w:val="28"/>
                <w:szCs w:val="28"/>
              </w:rPr>
            </w:pPr>
            <w:r>
              <w:rPr>
                <w:rFonts w:hint="eastAsia" w:ascii="仿宋_GB2312" w:hAnsi="仿宋_GB2312" w:eastAsia="仿宋_GB2312" w:cs="仿宋_GB2312"/>
                <w:color w:val="000000"/>
                <w:kern w:val="0"/>
                <w:sz w:val="28"/>
                <w:szCs w:val="28"/>
              </w:rPr>
              <w:t>预算（万元）</w:t>
            </w:r>
          </w:p>
        </w:tc>
      </w:tr>
      <w:tr w14:paraId="60EFD9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0" w:hRule="atLeast"/>
        </w:trPr>
        <w:tc>
          <w:tcPr>
            <w:tcW w:w="1255" w:type="dxa"/>
            <w:vAlign w:val="center"/>
          </w:tcPr>
          <w:p w14:paraId="1A05635A">
            <w:pPr>
              <w:widowControl/>
              <w:spacing w:after="158" w:afterLines="50"/>
              <w:jc w:val="center"/>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w:t>
            </w:r>
          </w:p>
        </w:tc>
        <w:tc>
          <w:tcPr>
            <w:tcW w:w="3828" w:type="dxa"/>
            <w:vAlign w:val="center"/>
          </w:tcPr>
          <w:p w14:paraId="3F19341B">
            <w:pPr>
              <w:jc w:val="center"/>
              <w:rPr>
                <w:rFonts w:ascii="仿宋" w:hAnsi="仿宋" w:eastAsia="仿宋" w:cs="仿宋"/>
                <w:color w:val="000000"/>
                <w:kern w:val="0"/>
                <w:sz w:val="24"/>
              </w:rPr>
            </w:pPr>
            <w:r>
              <w:rPr>
                <w:rFonts w:hint="eastAsia" w:ascii="仿宋" w:hAnsi="仿宋" w:eastAsia="仿宋" w:cs="仿宋"/>
                <w:bCs/>
                <w:sz w:val="24"/>
                <w:lang w:eastAsia="zh-CN"/>
              </w:rPr>
              <w:t>医院数据中心机房项目</w:t>
            </w:r>
          </w:p>
        </w:tc>
        <w:tc>
          <w:tcPr>
            <w:tcW w:w="1298" w:type="dxa"/>
            <w:vAlign w:val="center"/>
          </w:tcPr>
          <w:p w14:paraId="2116E29C">
            <w:pPr>
              <w:autoSpaceDN w:val="0"/>
              <w:jc w:val="center"/>
              <w:textAlignment w:val="center"/>
              <w:rPr>
                <w:rFonts w:ascii="仿宋" w:hAnsi="仿宋" w:eastAsia="仿宋" w:cs="仿宋"/>
                <w:color w:val="000000"/>
                <w:sz w:val="24"/>
              </w:rPr>
            </w:pPr>
            <w:r>
              <w:rPr>
                <w:rFonts w:hint="eastAsia" w:ascii="仿宋" w:hAnsi="仿宋" w:eastAsia="仿宋" w:cs="仿宋"/>
                <w:color w:val="000000"/>
                <w:sz w:val="24"/>
              </w:rPr>
              <w:t>1项</w:t>
            </w:r>
          </w:p>
        </w:tc>
        <w:tc>
          <w:tcPr>
            <w:tcW w:w="2077" w:type="dxa"/>
            <w:vAlign w:val="center"/>
          </w:tcPr>
          <w:p w14:paraId="269A9E1E">
            <w:pPr>
              <w:autoSpaceDN w:val="0"/>
              <w:jc w:val="center"/>
              <w:textAlignment w:val="center"/>
              <w:rPr>
                <w:rFonts w:hint="eastAsia" w:ascii="仿宋" w:hAnsi="仿宋" w:eastAsia="仿宋" w:cs="仿宋"/>
                <w:color w:val="000000"/>
                <w:sz w:val="24"/>
                <w:lang w:eastAsia="zh-CN"/>
              </w:rPr>
            </w:pPr>
          </w:p>
        </w:tc>
      </w:tr>
    </w:tbl>
    <w:p w14:paraId="36A7DACF">
      <w:pPr>
        <w:keepNext/>
        <w:widowControl/>
        <w:shd w:val="clear" w:color="auto" w:fill="FFFFFF"/>
        <w:autoSpaceDE w:val="0"/>
        <w:spacing w:before="120" w:after="120"/>
        <w:rPr>
          <w:rFonts w:ascii="仿宋_GB2312" w:hAnsi="仿宋_GB2312" w:eastAsia="仿宋_GB2312" w:cs="仿宋_GB2312"/>
          <w:b/>
          <w:color w:val="000000"/>
          <w:kern w:val="0"/>
          <w:sz w:val="32"/>
          <w:szCs w:val="32"/>
          <w:shd w:val="clear" w:color="auto" w:fill="FFFFFF"/>
        </w:rPr>
      </w:pPr>
      <w:r>
        <w:rPr>
          <w:rFonts w:hint="eastAsia" w:ascii="仿宋_GB2312" w:hAnsi="仿宋_GB2312" w:eastAsia="仿宋_GB2312" w:cs="仿宋_GB2312"/>
          <w:b/>
          <w:color w:val="000000"/>
          <w:kern w:val="0"/>
          <w:sz w:val="32"/>
          <w:szCs w:val="32"/>
          <w:shd w:val="clear" w:color="auto" w:fill="FFFFFF"/>
        </w:rPr>
        <w:t>二、技术功能及服务要求</w:t>
      </w:r>
    </w:p>
    <w:p w14:paraId="6A875EB6">
      <w:pPr>
        <w:pStyle w:val="15"/>
        <w:numPr>
          <w:ilvl w:val="0"/>
          <w:numId w:val="0"/>
        </w:numPr>
        <w:rPr>
          <w:rFonts w:hint="eastAsia" w:ascii="华文楷体" w:hAnsi="华文楷体" w:eastAsia="华文楷体" w:cs="华文楷体"/>
        </w:rPr>
      </w:pPr>
      <w:r>
        <w:rPr>
          <w:rFonts w:hint="eastAsia" w:ascii="华文楷体" w:hAnsi="华文楷体" w:eastAsia="华文楷体" w:cs="华文楷体"/>
        </w:rPr>
        <w:t>1、合同包（一）</w:t>
      </w:r>
    </w:p>
    <w:p w14:paraId="05C9404C">
      <w:pPr>
        <w:pStyle w:val="15"/>
        <w:numPr>
          <w:ilvl w:val="0"/>
          <w:numId w:val="0"/>
        </w:numPr>
        <w:rPr>
          <w:rFonts w:hint="eastAsia" w:ascii="华文楷体" w:hAnsi="华文楷体" w:eastAsia="华文楷体" w:cs="华文楷体"/>
        </w:rPr>
      </w:pPr>
      <w:r>
        <w:rPr>
          <w:rFonts w:hint="eastAsia" w:ascii="华文楷体" w:hAnsi="华文楷体" w:eastAsia="华文楷体" w:cs="华文楷体"/>
        </w:rPr>
        <w:t>本项目数据中心机房</w:t>
      </w:r>
      <w:r>
        <w:rPr>
          <w:rFonts w:hint="eastAsia" w:ascii="华文楷体" w:hAnsi="华文楷体" w:eastAsia="华文楷体" w:cs="华文楷体"/>
          <w:lang w:val="en-US" w:eastAsia="zh-CN"/>
        </w:rPr>
        <w:t>项目</w:t>
      </w:r>
      <w:r>
        <w:rPr>
          <w:rFonts w:hint="eastAsia" w:ascii="华文楷体" w:hAnsi="华文楷体" w:eastAsia="华文楷体" w:cs="华文楷体"/>
        </w:rPr>
        <w:t>涵盖机房装修子系统、机房新风子系统、机房供配电</w:t>
      </w:r>
      <w:r>
        <w:rPr>
          <w:rFonts w:hint="eastAsia" w:ascii="华文楷体" w:hAnsi="华文楷体" w:eastAsia="华文楷体" w:cs="华文楷体"/>
          <w:lang w:val="en-US" w:eastAsia="zh-CN"/>
        </w:rPr>
        <w:t>及</w:t>
      </w:r>
      <w:r>
        <w:rPr>
          <w:rFonts w:hint="eastAsia" w:ascii="华文楷体" w:hAnsi="华文楷体" w:eastAsia="华文楷体" w:cs="华文楷体"/>
        </w:rPr>
        <w:t>不间断电源子系统、机房机柜和微模块通道子系统、机房综合布线子系统、机房场地监控子系统、机房安全防范子系统</w:t>
      </w:r>
      <w:r>
        <w:rPr>
          <w:rFonts w:hint="eastAsia" w:ascii="华文楷体" w:hAnsi="华文楷体" w:eastAsia="华文楷体" w:cs="华文楷体"/>
          <w:lang w:eastAsia="zh-CN"/>
        </w:rPr>
        <w:t>，</w:t>
      </w:r>
      <w:r>
        <w:rPr>
          <w:rFonts w:hint="eastAsia" w:ascii="华文楷体" w:hAnsi="华文楷体" w:eastAsia="华文楷体" w:cs="华文楷体"/>
          <w:lang w:val="en-US" w:eastAsia="zh-CN"/>
        </w:rPr>
        <w:t>本项目</w:t>
      </w:r>
      <w:r>
        <w:rPr>
          <w:rFonts w:hint="eastAsia" w:ascii="华文楷体" w:hAnsi="华文楷体" w:eastAsia="华文楷体" w:cs="华文楷体"/>
        </w:rPr>
        <w:t>包含对原有数据中心机房服务器</w:t>
      </w:r>
      <w:r>
        <w:rPr>
          <w:rFonts w:hint="eastAsia" w:ascii="华文楷体" w:hAnsi="华文楷体" w:eastAsia="华文楷体" w:cs="华文楷体"/>
          <w:lang w:eastAsia="zh-CN"/>
        </w:rPr>
        <w:t>、</w:t>
      </w:r>
      <w:r>
        <w:rPr>
          <w:rFonts w:hint="eastAsia" w:ascii="华文楷体" w:hAnsi="华文楷体" w:eastAsia="华文楷体" w:cs="华文楷体"/>
          <w:lang w:val="en-US" w:eastAsia="zh-CN"/>
        </w:rPr>
        <w:t>存储、</w:t>
      </w:r>
      <w:r>
        <w:rPr>
          <w:rFonts w:hint="eastAsia" w:ascii="华文楷体" w:hAnsi="华文楷体" w:eastAsia="华文楷体" w:cs="华文楷体"/>
        </w:rPr>
        <w:t>核心网络</w:t>
      </w:r>
      <w:r>
        <w:rPr>
          <w:rFonts w:hint="eastAsia" w:ascii="华文楷体" w:hAnsi="华文楷体" w:eastAsia="华文楷体" w:cs="华文楷体"/>
          <w:lang w:val="en-US" w:eastAsia="zh-CN"/>
        </w:rPr>
        <w:t>交换机等</w:t>
      </w:r>
      <w:r>
        <w:rPr>
          <w:rFonts w:hint="eastAsia" w:ascii="华文楷体" w:hAnsi="华文楷体" w:eastAsia="华文楷体" w:cs="华文楷体"/>
        </w:rPr>
        <w:t>设备</w:t>
      </w:r>
      <w:r>
        <w:rPr>
          <w:rFonts w:hint="eastAsia" w:ascii="华文楷体" w:hAnsi="华文楷体" w:eastAsia="华文楷体" w:cs="华文楷体"/>
          <w:lang w:val="en-US" w:eastAsia="zh-CN"/>
        </w:rPr>
        <w:t>的</w:t>
      </w:r>
      <w:r>
        <w:rPr>
          <w:rFonts w:hint="eastAsia" w:ascii="华文楷体" w:hAnsi="华文楷体" w:eastAsia="华文楷体" w:cs="华文楷体"/>
        </w:rPr>
        <w:t>搬迁</w:t>
      </w:r>
      <w:r>
        <w:rPr>
          <w:rFonts w:hint="eastAsia" w:ascii="华文楷体" w:hAnsi="华文楷体" w:eastAsia="华文楷体" w:cs="华文楷体"/>
          <w:lang w:val="en-US" w:eastAsia="zh-CN"/>
        </w:rPr>
        <w:t>与集成</w:t>
      </w:r>
      <w:r>
        <w:rPr>
          <w:rFonts w:hint="eastAsia" w:ascii="华文楷体" w:hAnsi="华文楷体" w:eastAsia="华文楷体" w:cs="华文楷体"/>
        </w:rPr>
        <w:t>服务。</w:t>
      </w:r>
    </w:p>
    <w:tbl>
      <w:tblPr>
        <w:tblStyle w:val="11"/>
        <w:tblW w:w="9420" w:type="dxa"/>
        <w:tblInd w:w="-7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3"/>
        <w:gridCol w:w="2126"/>
        <w:gridCol w:w="6261"/>
      </w:tblGrid>
      <w:tr w14:paraId="68E15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033" w:type="dxa"/>
          </w:tcPr>
          <w:p w14:paraId="0542FE4D">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8"/>
                <w:szCs w:val="28"/>
              </w:rPr>
            </w:pPr>
            <w:r>
              <w:rPr>
                <w:rFonts w:hint="eastAsia" w:ascii="仿宋" w:hAnsi="仿宋" w:eastAsia="仿宋" w:cs="仿宋"/>
                <w:sz w:val="28"/>
                <w:szCs w:val="28"/>
              </w:rPr>
              <w:t>序号</w:t>
            </w:r>
          </w:p>
        </w:tc>
        <w:tc>
          <w:tcPr>
            <w:tcW w:w="2126" w:type="dxa"/>
          </w:tcPr>
          <w:p w14:paraId="67608BD2">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8"/>
                <w:szCs w:val="28"/>
              </w:rPr>
            </w:pPr>
            <w:r>
              <w:rPr>
                <w:rFonts w:hint="eastAsia" w:ascii="仿宋" w:hAnsi="仿宋" w:eastAsia="仿宋" w:cs="仿宋"/>
                <w:sz w:val="28"/>
                <w:szCs w:val="28"/>
              </w:rPr>
              <w:t>项目</w:t>
            </w:r>
          </w:p>
        </w:tc>
        <w:tc>
          <w:tcPr>
            <w:tcW w:w="6261" w:type="dxa"/>
          </w:tcPr>
          <w:p w14:paraId="0A575426">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8"/>
                <w:szCs w:val="28"/>
              </w:rPr>
            </w:pPr>
            <w:r>
              <w:rPr>
                <w:rFonts w:hint="eastAsia" w:ascii="仿宋" w:hAnsi="仿宋" w:eastAsia="仿宋" w:cs="仿宋"/>
                <w:sz w:val="28"/>
                <w:szCs w:val="28"/>
              </w:rPr>
              <w:t>技术参数要求</w:t>
            </w:r>
          </w:p>
        </w:tc>
      </w:tr>
      <w:tr w14:paraId="3D6D8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033" w:type="dxa"/>
            <w:vAlign w:val="center"/>
          </w:tcPr>
          <w:p w14:paraId="60518FD9">
            <w:pPr>
              <w:pStyle w:val="19"/>
              <w:keepNext w:val="0"/>
              <w:keepLines w:val="0"/>
              <w:pageBreakBefore w:val="0"/>
              <w:numPr>
                <w:ilvl w:val="0"/>
                <w:numId w:val="2"/>
              </w:numPr>
              <w:kinsoku/>
              <w:wordWrap/>
              <w:overflowPunct/>
              <w:topLinePunct w:val="0"/>
              <w:autoSpaceDE/>
              <w:autoSpaceDN/>
              <w:bidi w:val="0"/>
              <w:adjustRightInd/>
              <w:snapToGrid/>
              <w:spacing w:line="400" w:lineRule="exact"/>
              <w:ind w:firstLineChars="0"/>
              <w:jc w:val="center"/>
              <w:textAlignment w:val="auto"/>
              <w:rPr>
                <w:rFonts w:hint="eastAsia" w:ascii="仿宋" w:hAnsi="仿宋" w:eastAsia="仿宋" w:cs="仿宋"/>
                <w:sz w:val="28"/>
                <w:szCs w:val="28"/>
              </w:rPr>
            </w:pPr>
          </w:p>
        </w:tc>
        <w:tc>
          <w:tcPr>
            <w:tcW w:w="2126" w:type="dxa"/>
            <w:vMerge w:val="restart"/>
            <w:vAlign w:val="center"/>
          </w:tcPr>
          <w:p w14:paraId="2250DCDB">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仿宋" w:hAnsi="仿宋" w:eastAsia="仿宋" w:cs="仿宋"/>
                <w:sz w:val="28"/>
                <w:szCs w:val="28"/>
                <w:lang w:val="en-US"/>
              </w:rPr>
            </w:pPr>
            <w:r>
              <w:rPr>
                <w:rFonts w:hint="eastAsia" w:ascii="仿宋" w:hAnsi="仿宋" w:eastAsia="仿宋" w:cs="仿宋"/>
                <w:bCs/>
                <w:sz w:val="24"/>
                <w:lang w:eastAsia="zh-CN"/>
              </w:rPr>
              <w:t>医院数据中心机房项目</w:t>
            </w:r>
          </w:p>
        </w:tc>
        <w:tc>
          <w:tcPr>
            <w:tcW w:w="6261" w:type="dxa"/>
          </w:tcPr>
          <w:p w14:paraId="4E326DCE">
            <w:pPr>
              <w:keepNext w:val="0"/>
              <w:keepLines w:val="0"/>
              <w:pageBreakBefore w:val="0"/>
              <w:kinsoku/>
              <w:wordWrap/>
              <w:overflowPunct/>
              <w:topLinePunct w:val="0"/>
              <w:autoSpaceDE/>
              <w:autoSpaceDN/>
              <w:bidi w:val="0"/>
              <w:adjustRightInd/>
              <w:snapToGrid/>
              <w:spacing w:line="400" w:lineRule="exact"/>
              <w:jc w:val="left"/>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机房装修子系统：包含给排水，接地系统。面积：315 m²。</w:t>
            </w:r>
          </w:p>
        </w:tc>
      </w:tr>
      <w:tr w14:paraId="51B8D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033" w:type="dxa"/>
            <w:vAlign w:val="center"/>
          </w:tcPr>
          <w:p w14:paraId="711291C0">
            <w:pPr>
              <w:pStyle w:val="19"/>
              <w:keepNext w:val="0"/>
              <w:keepLines w:val="0"/>
              <w:pageBreakBefore w:val="0"/>
              <w:numPr>
                <w:ilvl w:val="0"/>
                <w:numId w:val="2"/>
              </w:numPr>
              <w:kinsoku/>
              <w:wordWrap/>
              <w:overflowPunct/>
              <w:topLinePunct w:val="0"/>
              <w:autoSpaceDE/>
              <w:autoSpaceDN/>
              <w:bidi w:val="0"/>
              <w:adjustRightInd/>
              <w:snapToGrid/>
              <w:spacing w:line="400" w:lineRule="exact"/>
              <w:ind w:firstLineChars="0"/>
              <w:jc w:val="center"/>
              <w:textAlignment w:val="auto"/>
              <w:rPr>
                <w:rFonts w:hint="eastAsia" w:ascii="仿宋" w:hAnsi="仿宋" w:eastAsia="仿宋" w:cs="仿宋"/>
                <w:sz w:val="28"/>
                <w:szCs w:val="28"/>
              </w:rPr>
            </w:pPr>
          </w:p>
        </w:tc>
        <w:tc>
          <w:tcPr>
            <w:tcW w:w="2126" w:type="dxa"/>
            <w:vMerge w:val="continue"/>
          </w:tcPr>
          <w:p w14:paraId="1DC89086">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8"/>
                <w:szCs w:val="28"/>
              </w:rPr>
            </w:pPr>
          </w:p>
        </w:tc>
        <w:tc>
          <w:tcPr>
            <w:tcW w:w="6261" w:type="dxa"/>
          </w:tcPr>
          <w:p w14:paraId="678F7017">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机房新风子系统：包括新风设备，设计应满足机房的新风风量并考虑备份。</w:t>
            </w:r>
          </w:p>
        </w:tc>
      </w:tr>
      <w:tr w14:paraId="09246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033" w:type="dxa"/>
            <w:vAlign w:val="center"/>
          </w:tcPr>
          <w:p w14:paraId="130FF6DF">
            <w:pPr>
              <w:pStyle w:val="19"/>
              <w:keepNext w:val="0"/>
              <w:keepLines w:val="0"/>
              <w:pageBreakBefore w:val="0"/>
              <w:numPr>
                <w:ilvl w:val="0"/>
                <w:numId w:val="2"/>
              </w:numPr>
              <w:kinsoku/>
              <w:wordWrap/>
              <w:overflowPunct/>
              <w:topLinePunct w:val="0"/>
              <w:autoSpaceDE/>
              <w:autoSpaceDN/>
              <w:bidi w:val="0"/>
              <w:adjustRightInd/>
              <w:snapToGrid/>
              <w:spacing w:line="400" w:lineRule="exact"/>
              <w:ind w:firstLineChars="0"/>
              <w:jc w:val="center"/>
              <w:textAlignment w:val="auto"/>
              <w:rPr>
                <w:rFonts w:hint="eastAsia" w:ascii="仿宋" w:hAnsi="仿宋" w:eastAsia="仿宋" w:cs="仿宋"/>
                <w:sz w:val="28"/>
                <w:szCs w:val="28"/>
              </w:rPr>
            </w:pPr>
          </w:p>
        </w:tc>
        <w:tc>
          <w:tcPr>
            <w:tcW w:w="2126" w:type="dxa"/>
            <w:vMerge w:val="continue"/>
          </w:tcPr>
          <w:p w14:paraId="73316AFB">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8"/>
                <w:szCs w:val="28"/>
              </w:rPr>
            </w:pPr>
          </w:p>
        </w:tc>
        <w:tc>
          <w:tcPr>
            <w:tcW w:w="6261" w:type="dxa"/>
          </w:tcPr>
          <w:p w14:paraId="4B49DB80">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机房供配电及不间断电源子系统：配电柜、空调动力ups（单机设计）、</w:t>
            </w:r>
            <w:r>
              <w:rPr>
                <w:rFonts w:hint="default" w:ascii="仿宋" w:hAnsi="仿宋" w:eastAsia="仿宋" w:cs="仿宋"/>
                <w:sz w:val="28"/>
                <w:szCs w:val="28"/>
                <w:lang w:val="en-US" w:eastAsia="zh-CN"/>
              </w:rPr>
              <w:t>ITUPS</w:t>
            </w:r>
            <w:r>
              <w:rPr>
                <w:rFonts w:hint="eastAsia" w:ascii="仿宋" w:hAnsi="仿宋" w:eastAsia="仿宋" w:cs="仿宋"/>
                <w:sz w:val="28"/>
                <w:szCs w:val="28"/>
                <w:lang w:val="en-US" w:eastAsia="zh-CN"/>
              </w:rPr>
              <w:t>（</w:t>
            </w:r>
            <w:r>
              <w:rPr>
                <w:rFonts w:hint="default" w:ascii="仿宋" w:hAnsi="仿宋" w:eastAsia="仿宋" w:cs="仿宋"/>
                <w:sz w:val="28"/>
                <w:szCs w:val="28"/>
                <w:lang w:val="en-US" w:eastAsia="zh-CN"/>
              </w:rPr>
              <w:t>IT</w:t>
            </w:r>
            <w:r>
              <w:rPr>
                <w:rFonts w:hint="eastAsia" w:ascii="仿宋" w:hAnsi="仿宋" w:eastAsia="仿宋" w:cs="仿宋"/>
                <w:sz w:val="28"/>
                <w:szCs w:val="28"/>
                <w:lang w:val="en-US" w:eastAsia="zh-CN"/>
              </w:rPr>
              <w:t>UPS配置应考虑备份配置，采用双总线供电方式）、电池组（系统后备时间应不少于60分钟）。</w:t>
            </w:r>
          </w:p>
        </w:tc>
      </w:tr>
      <w:tr w14:paraId="69D97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033" w:type="dxa"/>
            <w:vAlign w:val="center"/>
          </w:tcPr>
          <w:p w14:paraId="7C39DD73">
            <w:pPr>
              <w:pStyle w:val="19"/>
              <w:keepNext w:val="0"/>
              <w:keepLines w:val="0"/>
              <w:pageBreakBefore w:val="0"/>
              <w:numPr>
                <w:ilvl w:val="0"/>
                <w:numId w:val="2"/>
              </w:numPr>
              <w:kinsoku/>
              <w:wordWrap/>
              <w:overflowPunct/>
              <w:topLinePunct w:val="0"/>
              <w:autoSpaceDE/>
              <w:autoSpaceDN/>
              <w:bidi w:val="0"/>
              <w:adjustRightInd/>
              <w:snapToGrid/>
              <w:spacing w:line="400" w:lineRule="exact"/>
              <w:ind w:firstLineChars="0"/>
              <w:jc w:val="center"/>
              <w:textAlignment w:val="auto"/>
              <w:rPr>
                <w:rFonts w:hint="eastAsia" w:ascii="仿宋" w:hAnsi="仿宋" w:eastAsia="仿宋" w:cs="仿宋"/>
                <w:sz w:val="28"/>
                <w:szCs w:val="28"/>
              </w:rPr>
            </w:pPr>
          </w:p>
        </w:tc>
        <w:tc>
          <w:tcPr>
            <w:tcW w:w="2126" w:type="dxa"/>
            <w:vMerge w:val="continue"/>
          </w:tcPr>
          <w:p w14:paraId="41D25E32">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8"/>
                <w:szCs w:val="28"/>
              </w:rPr>
            </w:pPr>
          </w:p>
        </w:tc>
        <w:tc>
          <w:tcPr>
            <w:tcW w:w="6261" w:type="dxa"/>
          </w:tcPr>
          <w:p w14:paraId="38A44CE3">
            <w:pPr>
              <w:keepNext w:val="0"/>
              <w:keepLines w:val="0"/>
              <w:pageBreakBefore w:val="0"/>
              <w:kinsoku/>
              <w:wordWrap/>
              <w:overflowPunct/>
              <w:topLinePunct w:val="0"/>
              <w:autoSpaceDE/>
              <w:autoSpaceDN/>
              <w:bidi w:val="0"/>
              <w:adjustRightInd/>
              <w:snapToGrid/>
              <w:spacing w:line="400" w:lineRule="exact"/>
              <w:jc w:val="left"/>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机房机柜和微模块通道子系统：2组模块化机组，每组包含（20台服务器机柜、2台一体化ups机柜、4台列间空调、微模块通道组件、微模块内监控组件），每组平均单柜按7kw设计；其中1组需设计10个12kw机柜用于智算场景。</w:t>
            </w:r>
          </w:p>
        </w:tc>
      </w:tr>
      <w:tr w14:paraId="15C66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033" w:type="dxa"/>
            <w:vAlign w:val="center"/>
          </w:tcPr>
          <w:p w14:paraId="3E13C274">
            <w:pPr>
              <w:pStyle w:val="19"/>
              <w:keepNext w:val="0"/>
              <w:keepLines w:val="0"/>
              <w:pageBreakBefore w:val="0"/>
              <w:numPr>
                <w:ilvl w:val="0"/>
                <w:numId w:val="2"/>
              </w:numPr>
              <w:kinsoku/>
              <w:wordWrap/>
              <w:overflowPunct/>
              <w:topLinePunct w:val="0"/>
              <w:autoSpaceDE/>
              <w:autoSpaceDN/>
              <w:bidi w:val="0"/>
              <w:adjustRightInd/>
              <w:snapToGrid/>
              <w:spacing w:line="400" w:lineRule="exact"/>
              <w:ind w:firstLineChars="0"/>
              <w:jc w:val="center"/>
              <w:textAlignment w:val="auto"/>
              <w:rPr>
                <w:rFonts w:hint="eastAsia" w:ascii="仿宋" w:hAnsi="仿宋" w:eastAsia="仿宋" w:cs="仿宋"/>
                <w:sz w:val="28"/>
                <w:szCs w:val="28"/>
              </w:rPr>
            </w:pPr>
          </w:p>
        </w:tc>
        <w:tc>
          <w:tcPr>
            <w:tcW w:w="2126" w:type="dxa"/>
            <w:vMerge w:val="continue"/>
          </w:tcPr>
          <w:p w14:paraId="1B2209EC">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8"/>
                <w:szCs w:val="28"/>
              </w:rPr>
            </w:pPr>
          </w:p>
        </w:tc>
        <w:tc>
          <w:tcPr>
            <w:tcW w:w="6261" w:type="dxa"/>
          </w:tcPr>
          <w:p w14:paraId="4624E2E0">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机房综合布线子系统：每台机柜应至少设置24根六类非屏蔽双绞线及24芯万兆多模OM4光纤。</w:t>
            </w:r>
          </w:p>
        </w:tc>
      </w:tr>
      <w:tr w14:paraId="1AAD7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033" w:type="dxa"/>
            <w:vAlign w:val="center"/>
          </w:tcPr>
          <w:p w14:paraId="521DA7A6">
            <w:pPr>
              <w:pStyle w:val="19"/>
              <w:keepNext w:val="0"/>
              <w:keepLines w:val="0"/>
              <w:pageBreakBefore w:val="0"/>
              <w:numPr>
                <w:ilvl w:val="0"/>
                <w:numId w:val="2"/>
              </w:numPr>
              <w:kinsoku/>
              <w:wordWrap/>
              <w:overflowPunct/>
              <w:topLinePunct w:val="0"/>
              <w:autoSpaceDE/>
              <w:autoSpaceDN/>
              <w:bidi w:val="0"/>
              <w:adjustRightInd/>
              <w:snapToGrid/>
              <w:spacing w:line="400" w:lineRule="exact"/>
              <w:ind w:firstLineChars="0"/>
              <w:jc w:val="center"/>
              <w:textAlignment w:val="auto"/>
              <w:rPr>
                <w:rFonts w:hint="eastAsia" w:ascii="仿宋" w:hAnsi="仿宋" w:eastAsia="仿宋" w:cs="仿宋"/>
                <w:sz w:val="28"/>
                <w:szCs w:val="28"/>
              </w:rPr>
            </w:pPr>
          </w:p>
        </w:tc>
        <w:tc>
          <w:tcPr>
            <w:tcW w:w="2126" w:type="dxa"/>
            <w:vMerge w:val="continue"/>
          </w:tcPr>
          <w:p w14:paraId="0D3EB15D">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8"/>
                <w:szCs w:val="28"/>
              </w:rPr>
            </w:pPr>
          </w:p>
        </w:tc>
        <w:tc>
          <w:tcPr>
            <w:tcW w:w="6261" w:type="dxa"/>
          </w:tcPr>
          <w:p w14:paraId="579CD090">
            <w:pPr>
              <w:keepNext w:val="0"/>
              <w:keepLines w:val="0"/>
              <w:pageBreakBefore w:val="0"/>
              <w:kinsoku/>
              <w:wordWrap/>
              <w:overflowPunct/>
              <w:topLinePunct w:val="0"/>
              <w:autoSpaceDE/>
              <w:autoSpaceDN/>
              <w:bidi w:val="0"/>
              <w:adjustRightInd/>
              <w:snapToGrid/>
              <w:spacing w:line="400" w:lineRule="exact"/>
              <w:jc w:val="left"/>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新旧机房场地监控子系统：监控内容包括但不仅限供配电系统、防雷系统、UPS主机、精密空调、新风机、机房温湿度、机房漏水监测系统、机房安防系统、机房消防系统等内容，并能对主要数据展示和管理，支持3</w:t>
            </w:r>
            <w:r>
              <w:rPr>
                <w:rFonts w:hint="default" w:ascii="仿宋" w:hAnsi="仿宋" w:eastAsia="仿宋" w:cs="仿宋"/>
                <w:sz w:val="28"/>
                <w:szCs w:val="28"/>
                <w:lang w:val="en-US" w:eastAsia="zh-CN"/>
              </w:rPr>
              <w:t>D</w:t>
            </w:r>
            <w:r>
              <w:rPr>
                <w:rFonts w:hint="eastAsia" w:ascii="仿宋" w:hAnsi="仿宋" w:eastAsia="仿宋" w:cs="仿宋"/>
                <w:sz w:val="28"/>
                <w:szCs w:val="28"/>
                <w:lang w:val="en-US" w:eastAsia="zh-CN"/>
              </w:rPr>
              <w:t>可视化，能效管理，移动运维，资产管理，容量管理。</w:t>
            </w:r>
          </w:p>
        </w:tc>
      </w:tr>
      <w:tr w14:paraId="66933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033" w:type="dxa"/>
            <w:vAlign w:val="center"/>
          </w:tcPr>
          <w:p w14:paraId="15439FAC">
            <w:pPr>
              <w:pStyle w:val="19"/>
              <w:keepNext w:val="0"/>
              <w:keepLines w:val="0"/>
              <w:pageBreakBefore w:val="0"/>
              <w:numPr>
                <w:ilvl w:val="0"/>
                <w:numId w:val="2"/>
              </w:numPr>
              <w:kinsoku/>
              <w:wordWrap/>
              <w:overflowPunct/>
              <w:topLinePunct w:val="0"/>
              <w:autoSpaceDE/>
              <w:autoSpaceDN/>
              <w:bidi w:val="0"/>
              <w:adjustRightInd/>
              <w:snapToGrid/>
              <w:spacing w:line="400" w:lineRule="exact"/>
              <w:ind w:firstLineChars="0"/>
              <w:jc w:val="center"/>
              <w:textAlignment w:val="auto"/>
              <w:rPr>
                <w:rFonts w:hint="eastAsia" w:ascii="仿宋" w:hAnsi="仿宋" w:eastAsia="仿宋" w:cs="仿宋"/>
                <w:sz w:val="28"/>
                <w:szCs w:val="28"/>
              </w:rPr>
            </w:pPr>
          </w:p>
        </w:tc>
        <w:tc>
          <w:tcPr>
            <w:tcW w:w="2126" w:type="dxa"/>
            <w:vMerge w:val="continue"/>
          </w:tcPr>
          <w:p w14:paraId="3B965E6B">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8"/>
                <w:szCs w:val="28"/>
              </w:rPr>
            </w:pPr>
          </w:p>
        </w:tc>
        <w:tc>
          <w:tcPr>
            <w:tcW w:w="6261" w:type="dxa"/>
          </w:tcPr>
          <w:p w14:paraId="503D8116">
            <w:pPr>
              <w:keepNext w:val="0"/>
              <w:keepLines w:val="0"/>
              <w:pageBreakBefore w:val="0"/>
              <w:kinsoku/>
              <w:wordWrap/>
              <w:overflowPunct/>
              <w:topLinePunct w:val="0"/>
              <w:autoSpaceDE/>
              <w:autoSpaceDN/>
              <w:bidi w:val="0"/>
              <w:adjustRightInd/>
              <w:snapToGrid/>
              <w:spacing w:line="400" w:lineRule="exact"/>
              <w:jc w:val="left"/>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机房安全防范子系统（国密）：包含新旧机房的视频监控、门禁设备，满足国密测评要求。</w:t>
            </w:r>
          </w:p>
        </w:tc>
      </w:tr>
    </w:tbl>
    <w:p w14:paraId="60F17059">
      <w:pPr>
        <w:rPr>
          <w:rFonts w:ascii="仿宋_GB2312" w:hAnsi="仿宋_GB2312" w:eastAsia="仿宋_GB2312" w:cs="仿宋_GB2312"/>
          <w:b/>
          <w:bCs/>
          <w:sz w:val="32"/>
          <w:szCs w:val="32"/>
        </w:rPr>
      </w:pPr>
    </w:p>
    <w:p w14:paraId="33563A8B">
      <w:pPr>
        <w:keepNext w:val="0"/>
        <w:keepLines w:val="0"/>
        <w:pageBreakBefore w:val="0"/>
        <w:numPr>
          <w:ilvl w:val="0"/>
          <w:numId w:val="3"/>
        </w:numPr>
        <w:kinsoku/>
        <w:wordWrap/>
        <w:topLinePunct w:val="0"/>
        <w:bidi w:val="0"/>
        <w:snapToGrid/>
        <w:ind w:left="0" w:leftChars="0" w:firstLine="0" w:firstLineChars="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其他要求</w:t>
      </w:r>
    </w:p>
    <w:p w14:paraId="01ADBEA6">
      <w:pPr>
        <w:pStyle w:val="2"/>
        <w:keepNext w:val="0"/>
        <w:keepLines w:val="0"/>
        <w:pageBreakBefore w:val="0"/>
        <w:kinsoku/>
        <w:wordWrap/>
        <w:topLinePunct w:val="0"/>
        <w:bidi w:val="0"/>
        <w:snapToGrid/>
        <w:ind w:firstLine="640" w:firstLineChars="200"/>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1、总体要求：建设一个涵盖动力、环境、安防、能耗管理于一体的整体系统，实现实时监控、事前预警、事中报警并处理、事后取证的安全管理模式，构建一个具备“安全、可靠、规范、节能”的数据中心机房，保障我院医疗信息系统核心应用的稳定可靠不间断运行，实现统一管理，实现规模化运营、高质量发展。同时，要求数据中心机房的服务能力具有可弹性的扩展空间，可满足目前及未来5年内发展的需求。</w:t>
      </w:r>
    </w:p>
    <w:p w14:paraId="2D484964">
      <w:pPr>
        <w:pStyle w:val="18"/>
        <w:keepNext w:val="0"/>
        <w:keepLines w:val="0"/>
        <w:pageBreakBefore w:val="0"/>
        <w:numPr>
          <w:ilvl w:val="0"/>
          <w:numId w:val="0"/>
        </w:numPr>
        <w:kinsoku/>
        <w:wordWrap/>
        <w:topLinePunct w:val="0"/>
        <w:bidi w:val="0"/>
        <w:snapToGrid/>
        <w:spacing w:before="0" w:beforeAutospacing="0" w:after="0" w:afterAutospacing="0" w:line="360" w:lineRule="auto"/>
        <w:ind w:right="0" w:rightChars="0" w:firstLine="640" w:firstLineChars="200"/>
        <w:jc w:val="both"/>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2、本项目整体设计及施工需符合 GB 50174-2017《数据中心设计规范》 B 级及以上标准。</w:t>
      </w:r>
    </w:p>
    <w:p w14:paraId="131B2CE9">
      <w:pPr>
        <w:pStyle w:val="18"/>
        <w:keepNext w:val="0"/>
        <w:keepLines w:val="0"/>
        <w:pageBreakBefore w:val="0"/>
        <w:numPr>
          <w:ilvl w:val="0"/>
          <w:numId w:val="0"/>
        </w:numPr>
        <w:kinsoku/>
        <w:wordWrap/>
        <w:topLinePunct w:val="0"/>
        <w:bidi w:val="0"/>
        <w:snapToGrid/>
        <w:spacing w:before="0" w:beforeAutospacing="0" w:after="0" w:afterAutospacing="0" w:line="360" w:lineRule="auto"/>
        <w:ind w:right="0" w:rightChars="0"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3、本项目采用双路供电冗余设计，</w:t>
      </w:r>
      <w:r>
        <w:rPr>
          <w:rFonts w:hint="default" w:ascii="仿宋_GB2312" w:hAnsi="仿宋_GB2312" w:eastAsia="仿宋_GB2312" w:cs="仿宋_GB2312"/>
          <w:color w:val="auto"/>
          <w:sz w:val="32"/>
          <w:szCs w:val="32"/>
          <w:lang w:val="en-US" w:eastAsia="zh-CN"/>
        </w:rPr>
        <w:t>IT</w:t>
      </w:r>
      <w:r>
        <w:rPr>
          <w:rFonts w:hint="eastAsia" w:ascii="仿宋_GB2312" w:hAnsi="仿宋_GB2312" w:eastAsia="仿宋_GB2312" w:cs="仿宋_GB2312"/>
          <w:color w:val="auto"/>
          <w:sz w:val="32"/>
          <w:szCs w:val="32"/>
          <w:lang w:val="en-US" w:eastAsia="zh-CN"/>
        </w:rPr>
        <w:t>UPS 系统支持 N+1 冗余，电池续航时间不低于60分钟，并兼容医院柴油发电机无缝切换，保障关键业务不中断。</w:t>
      </w:r>
    </w:p>
    <w:p w14:paraId="7C8ED73D">
      <w:pPr>
        <w:pStyle w:val="18"/>
        <w:keepNext w:val="0"/>
        <w:keepLines w:val="0"/>
        <w:pageBreakBefore w:val="0"/>
        <w:numPr>
          <w:ilvl w:val="0"/>
          <w:numId w:val="0"/>
        </w:numPr>
        <w:kinsoku/>
        <w:wordWrap/>
        <w:topLinePunct w:val="0"/>
        <w:bidi w:val="0"/>
        <w:snapToGrid/>
        <w:spacing w:before="0" w:beforeAutospacing="0" w:after="0" w:afterAutospacing="0" w:line="360" w:lineRule="auto"/>
        <w:ind w:right="0" w:rightChars="0" w:firstLine="640" w:firstLineChars="200"/>
        <w:jc w:val="both"/>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4、本项目采用封闭冷通道设计，主机房温度控制在 18℃~27℃，湿度 40%~60%，具备故障预警功能，单台空调故障时其余设备可自动冗余补位，避免局部过热。</w:t>
      </w:r>
    </w:p>
    <w:p w14:paraId="52570654">
      <w:pPr>
        <w:pStyle w:val="18"/>
        <w:keepNext w:val="0"/>
        <w:keepLines w:val="0"/>
        <w:pageBreakBefore w:val="0"/>
        <w:numPr>
          <w:ilvl w:val="0"/>
          <w:numId w:val="0"/>
        </w:numPr>
        <w:kinsoku/>
        <w:wordWrap/>
        <w:topLinePunct w:val="0"/>
        <w:bidi w:val="0"/>
        <w:snapToGrid/>
        <w:spacing w:before="0" w:beforeAutospacing="0" w:after="0" w:afterAutospacing="0" w:line="360" w:lineRule="auto"/>
        <w:ind w:right="0" w:rightChars="0"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5、本项目需内置物理安全防护体系，包括机柜机械锁、通道人脸/指纹/密码/刷卡门禁、24小时视频监控，相关操作日志及视频存储时间不少于3 个月。</w:t>
      </w:r>
    </w:p>
    <w:p w14:paraId="2A2A097B">
      <w:pPr>
        <w:pStyle w:val="18"/>
        <w:keepNext w:val="0"/>
        <w:keepLines w:val="0"/>
        <w:pageBreakBefore w:val="0"/>
        <w:numPr>
          <w:ilvl w:val="0"/>
          <w:numId w:val="0"/>
        </w:numPr>
        <w:kinsoku/>
        <w:wordWrap/>
        <w:topLinePunct w:val="0"/>
        <w:bidi w:val="0"/>
        <w:snapToGrid/>
        <w:spacing w:before="0" w:beforeAutospacing="0" w:after="0" w:afterAutospacing="0" w:line="360" w:lineRule="auto"/>
        <w:ind w:right="0" w:rightChars="0" w:firstLine="640" w:firstLineChars="200"/>
        <w:jc w:val="both"/>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6、本项目运维管理系统需具备远程监控+本地运维双重模式，支持手机 APP 告警推送，故障定位精度达到机柜级，且运维操作不涉及医疗数据明文访问，保障隐私安全。</w:t>
      </w:r>
    </w:p>
    <w:p w14:paraId="5BAD4A92">
      <w:pPr>
        <w:pStyle w:val="18"/>
        <w:keepNext w:val="0"/>
        <w:keepLines w:val="0"/>
        <w:pageBreakBefore w:val="0"/>
        <w:numPr>
          <w:ilvl w:val="0"/>
          <w:numId w:val="0"/>
        </w:numPr>
        <w:kinsoku/>
        <w:wordWrap/>
        <w:topLinePunct w:val="0"/>
        <w:bidi w:val="0"/>
        <w:snapToGrid/>
        <w:spacing w:before="0" w:beforeAutospacing="0" w:after="0" w:afterAutospacing="0" w:line="360" w:lineRule="auto"/>
        <w:ind w:right="0" w:rightChars="0"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7、本项目中模块化机柜需采用预制化交付，现场安装周期不超过 90 天，减少对医院日常诊疗工作的干扰，施工过程需符合医院洁净环境要求，避免粉尘、噪音污染。</w:t>
      </w:r>
    </w:p>
    <w:p w14:paraId="72C9E67E">
      <w:pPr>
        <w:pStyle w:val="15"/>
        <w:keepNext w:val="0"/>
        <w:keepLines w:val="0"/>
        <w:pageBreakBefore w:val="0"/>
        <w:numPr>
          <w:ilvl w:val="0"/>
          <w:numId w:val="0"/>
        </w:numPr>
        <w:kinsoku/>
        <w:wordWrap/>
        <w:topLinePunct w:val="0"/>
        <w:bidi w:val="0"/>
        <w:snapToGrid/>
        <w:ind w:firstLine="640" w:firstLineChars="200"/>
        <w:rPr>
          <w:rFonts w:hint="default" w:eastAsia="仿宋_GB2312"/>
          <w:lang w:val="en-US" w:eastAsia="zh-CN"/>
        </w:rPr>
      </w:pPr>
      <w:r>
        <w:rPr>
          <w:rFonts w:hint="eastAsia"/>
          <w:lang w:val="en-US" w:eastAsia="zh-CN"/>
        </w:rPr>
        <w:t>8.本项目包含对原有数据中心机房服务器和核心网络设备搬迁服务。</w:t>
      </w:r>
    </w:p>
    <w:p w14:paraId="1D1C1F59">
      <w:pPr>
        <w:numPr>
          <w:ilvl w:val="0"/>
          <w:numId w:val="3"/>
        </w:numPr>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调研说明</w:t>
      </w:r>
    </w:p>
    <w:p w14:paraId="73FCD2C0">
      <w:pPr>
        <w:shd w:val="solid" w:color="FFFFFF" w:fill="auto"/>
        <w:autoSpaceDN w:val="0"/>
        <w:spacing w:line="560" w:lineRule="exact"/>
        <w:ind w:firstLine="640" w:firstLineChars="200"/>
        <w:rPr>
          <w:rFonts w:ascii="仿宋_GB2312" w:hAnsi="仿宋_GB2312" w:eastAsia="仿宋_GB2312" w:cs="仿宋_GB2312"/>
          <w:bCs/>
          <w:sz w:val="32"/>
          <w:szCs w:val="32"/>
          <w:shd w:val="clear" w:color="auto" w:fill="FFFFFF"/>
        </w:rPr>
      </w:pPr>
      <w:r>
        <w:rPr>
          <w:rFonts w:hint="eastAsia" w:ascii="仿宋_GB2312" w:hAnsi="仿宋_GB2312" w:eastAsia="仿宋_GB2312" w:cs="仿宋_GB2312"/>
          <w:bCs/>
          <w:sz w:val="32"/>
          <w:szCs w:val="32"/>
          <w:shd w:val="clear" w:color="auto" w:fill="FFFFFF"/>
        </w:rPr>
        <w:t>报名参加本次调研的供应商、厂家需提供如下相关资料。</w:t>
      </w:r>
    </w:p>
    <w:p w14:paraId="0D16983E">
      <w:pPr>
        <w:widowControl/>
        <w:spacing w:line="315" w:lineRule="atLeast"/>
        <w:ind w:firstLine="640" w:firstLineChars="20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1、报名请携带加盖公章的项目文件回执单、营业执照复印件、公司简介（</w:t>
      </w:r>
      <w:r>
        <w:rPr>
          <w:rFonts w:hint="eastAsia" w:ascii="仿宋_GB2312" w:hAnsi="仿宋_GB2312" w:eastAsia="仿宋_GB2312" w:cs="仿宋_GB2312"/>
          <w:bCs/>
          <w:sz w:val="32"/>
          <w:szCs w:val="32"/>
          <w:shd w:val="clear" w:color="auto" w:fill="FFFFFF"/>
        </w:rPr>
        <w:t>提供</w:t>
      </w:r>
      <w:r>
        <w:rPr>
          <w:rFonts w:hint="eastAsia" w:ascii="仿宋_GB2312" w:hAnsi="仿宋_GB2312" w:eastAsia="仿宋_GB2312" w:cs="仿宋_GB2312"/>
          <w:bCs/>
          <w:sz w:val="32"/>
          <w:szCs w:val="32"/>
          <w:shd w:val="clear" w:color="auto" w:fill="FFFFFF"/>
          <w:lang w:val="en-US" w:eastAsia="zh-CN"/>
        </w:rPr>
        <w:t>相关</w:t>
      </w:r>
      <w:r>
        <w:rPr>
          <w:rFonts w:hint="eastAsia" w:ascii="仿宋_GB2312" w:hAnsi="仿宋_GB2312" w:eastAsia="仿宋_GB2312" w:cs="仿宋_GB2312"/>
          <w:bCs/>
          <w:sz w:val="32"/>
          <w:szCs w:val="32"/>
          <w:shd w:val="clear" w:color="auto" w:fill="FFFFFF"/>
        </w:rPr>
        <w:t>设备彩页、相关三证等）</w:t>
      </w:r>
      <w:r>
        <w:rPr>
          <w:rFonts w:hint="eastAsia" w:ascii="仿宋_GB2312" w:hAnsi="仿宋_GB2312" w:eastAsia="仿宋_GB2312" w:cs="仿宋_GB2312"/>
          <w:color w:val="000000"/>
          <w:kern w:val="0"/>
          <w:sz w:val="32"/>
          <w:szCs w:val="32"/>
        </w:rPr>
        <w:t>。</w:t>
      </w:r>
    </w:p>
    <w:p w14:paraId="7A41F6F8">
      <w:pPr>
        <w:widowControl/>
        <w:shd w:val="clear" w:color="auto" w:fill="FFFFFF"/>
        <w:spacing w:line="500" w:lineRule="atLeast"/>
        <w:ind w:firstLine="608" w:firstLineChars="200"/>
        <w:rPr>
          <w:rFonts w:ascii="仿宋_GB2312" w:hAnsi="仿宋_GB2312" w:eastAsia="仿宋_GB2312" w:cs="仿宋_GB2312"/>
          <w:color w:val="000000"/>
          <w:spacing w:val="-8"/>
          <w:kern w:val="0"/>
          <w:sz w:val="32"/>
          <w:szCs w:val="32"/>
          <w:shd w:val="clear" w:color="auto" w:fill="FFFFFF"/>
        </w:rPr>
      </w:pPr>
      <w:r>
        <w:rPr>
          <w:rFonts w:hint="eastAsia" w:ascii="仿宋_GB2312" w:hAnsi="仿宋_GB2312" w:eastAsia="仿宋_GB2312" w:cs="仿宋_GB2312"/>
          <w:color w:val="000000"/>
          <w:spacing w:val="-8"/>
          <w:kern w:val="0"/>
          <w:sz w:val="32"/>
          <w:szCs w:val="32"/>
          <w:shd w:val="clear" w:color="auto" w:fill="FFFFFF"/>
        </w:rPr>
        <w:t>2、参与项目调研供应商代表的个人授权函（需加盖供应商公章）和身份证复印件。</w:t>
      </w:r>
    </w:p>
    <w:p w14:paraId="7289EF4D">
      <w:pPr>
        <w:widowControl/>
        <w:shd w:val="clear" w:color="auto" w:fill="FFFFFF"/>
        <w:spacing w:line="500" w:lineRule="atLeast"/>
        <w:ind w:firstLine="608" w:firstLineChars="200"/>
        <w:rPr>
          <w:rFonts w:ascii="仿宋_GB2312" w:hAnsi="仿宋_GB2312" w:eastAsia="仿宋_GB2312" w:cs="仿宋_GB2312"/>
          <w:color w:val="000000"/>
          <w:spacing w:val="-8"/>
          <w:kern w:val="0"/>
          <w:sz w:val="32"/>
          <w:szCs w:val="32"/>
          <w:shd w:val="clear" w:color="auto" w:fill="FFFFFF"/>
        </w:rPr>
      </w:pPr>
      <w:r>
        <w:rPr>
          <w:rFonts w:hint="eastAsia" w:ascii="仿宋_GB2312" w:hAnsi="仿宋_GB2312" w:eastAsia="仿宋_GB2312" w:cs="仿宋_GB2312"/>
          <w:color w:val="000000"/>
          <w:spacing w:val="-8"/>
          <w:kern w:val="0"/>
          <w:sz w:val="32"/>
          <w:szCs w:val="32"/>
          <w:shd w:val="clear" w:color="auto" w:fill="FFFFFF"/>
        </w:rPr>
        <w:t>3、分别提供“信用中国”网站（www.creditchina.gov.cn）、“中国政府采购网”网站（http://www.ccgp.gov.cn/search/cr/）信用记录查询截图，无不良记录并加盖公章（截图查询日期必须在该公告日期内）。</w:t>
      </w:r>
    </w:p>
    <w:p w14:paraId="58EB629C">
      <w:pPr>
        <w:pStyle w:val="15"/>
        <w:numPr>
          <w:ilvl w:val="0"/>
          <w:numId w:val="0"/>
        </w:numPr>
        <w:rPr>
          <w:shd w:val="clear" w:color="auto" w:fill="FFFFFF"/>
        </w:rPr>
      </w:pPr>
      <w:r>
        <w:rPr>
          <w:rFonts w:hint="eastAsia"/>
          <w:shd w:val="clear" w:color="auto" w:fill="FFFFFF"/>
        </w:rPr>
        <w:t>4、</w:t>
      </w:r>
      <w:r>
        <w:rPr>
          <w:rFonts w:hint="eastAsia"/>
          <w:color w:val="000000" w:themeColor="text1"/>
          <w:shd w:val="clear" w:color="auto" w:fill="FFFFFF"/>
          <w14:textFill>
            <w14:solidFill>
              <w14:schemeClr w14:val="tx1"/>
            </w14:solidFill>
          </w14:textFill>
        </w:rPr>
        <w:t>提供业绩清单及近3年省内同类项目中标书</w:t>
      </w:r>
    </w:p>
    <w:p w14:paraId="3EC9EB33">
      <w:pPr>
        <w:pStyle w:val="15"/>
        <w:numPr>
          <w:ilvl w:val="0"/>
          <w:numId w:val="0"/>
        </w:numPr>
        <w:rPr>
          <w:shd w:val="clear" w:color="auto" w:fill="FFFFFF"/>
        </w:rPr>
      </w:pPr>
      <w:r>
        <w:rPr>
          <w:rFonts w:hint="eastAsia"/>
          <w:shd w:val="clear" w:color="auto" w:fill="FFFFFF"/>
        </w:rPr>
        <w:t>5、本调研会的报价仅做为本项目公开招标的预算限价；不做参与投标的限制条件；</w:t>
      </w:r>
    </w:p>
    <w:p w14:paraId="5AB322AE">
      <w:pPr>
        <w:pStyle w:val="15"/>
        <w:numPr>
          <w:ilvl w:val="0"/>
          <w:numId w:val="0"/>
        </w:numPr>
        <w:rPr>
          <w:shd w:val="clear" w:color="auto" w:fill="FFFFFF"/>
        </w:rPr>
      </w:pPr>
      <w:r>
        <w:rPr>
          <w:rFonts w:hint="eastAsia"/>
          <w:shd w:val="clear" w:color="auto" w:fill="FFFFFF"/>
        </w:rPr>
        <w:t>6、上述各参数将做为本项目招标的主要参数，不代表本项目公开招标的最终参数；</w:t>
      </w:r>
    </w:p>
    <w:p w14:paraId="1FBA1A5A">
      <w:pPr>
        <w:pStyle w:val="15"/>
        <w:numPr>
          <w:ilvl w:val="0"/>
          <w:numId w:val="0"/>
        </w:numPr>
        <w:rPr>
          <w:rFonts w:hint="eastAsia"/>
          <w:shd w:val="clear" w:color="auto" w:fill="FFFFFF"/>
        </w:rPr>
      </w:pPr>
      <w:r>
        <w:rPr>
          <w:rFonts w:hint="eastAsia"/>
          <w:shd w:val="clear" w:color="auto" w:fill="FFFFFF"/>
        </w:rPr>
        <w:t>7、参加调研会的公司应准备PPT材料（含方案介绍、服务及集成能力、应用案例、报价等）、技术参数等材料，每公司讲解时间30分钟（含答疑10分钟）；同时上述材料须交予院方留档（发送邮件到wlb@fjzlhospital.com，并提供U盘留档）。</w:t>
      </w:r>
    </w:p>
    <w:p w14:paraId="6A18113D">
      <w:pPr>
        <w:pStyle w:val="15"/>
      </w:pPr>
      <w:r>
        <w:rPr>
          <w:rFonts w:hint="eastAsia"/>
        </w:rPr>
        <w:br w:type="page"/>
      </w:r>
    </w:p>
    <w:p w14:paraId="74C334F2">
      <w:pPr>
        <w:shd w:val="solid" w:color="FFFFFF" w:fill="auto"/>
        <w:autoSpaceDN w:val="0"/>
        <w:spacing w:line="420" w:lineRule="atLeast"/>
        <w:jc w:val="center"/>
        <w:rPr>
          <w:rFonts w:ascii="仿宋_GB2312" w:hAnsi="仿宋_GB2312" w:eastAsia="仿宋_GB2312" w:cs="仿宋_GB2312"/>
          <w:b/>
          <w:color w:val="000000"/>
          <w:sz w:val="32"/>
          <w:szCs w:val="32"/>
          <w:shd w:val="clear" w:color="auto" w:fill="FFFFFF"/>
        </w:rPr>
      </w:pPr>
    </w:p>
    <w:p w14:paraId="5C9BA88D">
      <w:pPr>
        <w:shd w:val="solid" w:color="FFFFFF" w:fill="auto"/>
        <w:autoSpaceDN w:val="0"/>
        <w:spacing w:line="420" w:lineRule="atLeast"/>
        <w:jc w:val="center"/>
        <w:rPr>
          <w:rFonts w:ascii="仿宋_GB2312" w:hAnsi="仿宋_GB2312" w:eastAsia="仿宋_GB2312" w:cs="仿宋_GB2312"/>
          <w:b/>
          <w:sz w:val="32"/>
          <w:szCs w:val="32"/>
          <w:shd w:val="clear" w:color="auto" w:fill="FFFFFF"/>
        </w:rPr>
      </w:pPr>
      <w:r>
        <w:rPr>
          <w:rFonts w:hint="eastAsia" w:ascii="仿宋_GB2312" w:hAnsi="仿宋_GB2312" w:eastAsia="仿宋_GB2312" w:cs="仿宋_GB2312"/>
          <w:b/>
          <w:color w:val="000000"/>
          <w:sz w:val="32"/>
          <w:szCs w:val="32"/>
          <w:shd w:val="clear" w:color="auto" w:fill="FFFFFF"/>
        </w:rPr>
        <w:t>项目文件回执单</w:t>
      </w:r>
    </w:p>
    <w:p w14:paraId="1254486A">
      <w:pPr>
        <w:shd w:val="solid" w:color="FFFFFF" w:fill="auto"/>
        <w:autoSpaceDN w:val="0"/>
        <w:spacing w:line="420" w:lineRule="atLeas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shd w:val="clear" w:color="auto" w:fill="FFFFFF"/>
        </w:rPr>
        <w:t>请有意向参与的公司在项目公示期内携带回执单至福建省肿瘤医院网络技术中心报名。</w:t>
      </w:r>
    </w:p>
    <w:tbl>
      <w:tblPr>
        <w:tblStyle w:val="11"/>
        <w:tblW w:w="8154" w:type="dxa"/>
        <w:tblInd w:w="358"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0" w:type="dxa"/>
          <w:bottom w:w="0" w:type="dxa"/>
          <w:right w:w="0" w:type="dxa"/>
        </w:tblCellMar>
      </w:tblPr>
      <w:tblGrid>
        <w:gridCol w:w="1140"/>
        <w:gridCol w:w="2651"/>
        <w:gridCol w:w="2115"/>
        <w:gridCol w:w="2248"/>
      </w:tblGrid>
      <w:tr w14:paraId="71369CA5">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04" w:hRule="exact"/>
        </w:trPr>
        <w:tc>
          <w:tcPr>
            <w:tcW w:w="1140" w:type="dxa"/>
            <w:tcBorders>
              <w:top w:val="single" w:color="000000" w:sz="8" w:space="0"/>
              <w:left w:val="single" w:color="000000" w:sz="8" w:space="0"/>
              <w:bottom w:val="single" w:color="000000" w:sz="8" w:space="0"/>
              <w:right w:val="single" w:color="000000" w:sz="8" w:space="0"/>
            </w:tcBorders>
            <w:shd w:val="solid" w:color="FFFFFF" w:fill="auto"/>
            <w:tcMar>
              <w:top w:w="0" w:type="dxa"/>
              <w:left w:w="108" w:type="dxa"/>
              <w:bottom w:w="0" w:type="dxa"/>
              <w:right w:w="108" w:type="dxa"/>
            </w:tcMar>
            <w:vAlign w:val="center"/>
          </w:tcPr>
          <w:p w14:paraId="2C0F2B65">
            <w:pPr>
              <w:shd w:val="solid" w:color="FFFFFF" w:fill="auto"/>
              <w:autoSpaceDN w:val="0"/>
              <w:spacing w:line="420" w:lineRule="atLeast"/>
              <w:jc w:val="center"/>
              <w:rPr>
                <w:rFonts w:ascii="仿宋_GB2312" w:hAnsi="仿宋_GB2312" w:eastAsia="仿宋_GB2312" w:cs="仿宋_GB2312"/>
                <w:bCs/>
                <w:sz w:val="28"/>
                <w:szCs w:val="28"/>
                <w:shd w:val="clear" w:color="auto" w:fill="FFFFFF"/>
              </w:rPr>
            </w:pPr>
            <w:r>
              <w:rPr>
                <w:rFonts w:hint="eastAsia" w:ascii="仿宋_GB2312" w:hAnsi="仿宋_GB2312" w:eastAsia="仿宋_GB2312" w:cs="仿宋_GB2312"/>
                <w:bCs/>
                <w:sz w:val="28"/>
                <w:szCs w:val="28"/>
                <w:shd w:val="clear" w:color="auto" w:fill="FFFFFF"/>
              </w:rPr>
              <w:t>序号</w:t>
            </w:r>
          </w:p>
        </w:tc>
        <w:tc>
          <w:tcPr>
            <w:tcW w:w="2651"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02F4F2EB">
            <w:pPr>
              <w:shd w:val="solid" w:color="FFFFFF" w:fill="auto"/>
              <w:autoSpaceDN w:val="0"/>
              <w:spacing w:line="420" w:lineRule="atLeast"/>
              <w:jc w:val="center"/>
              <w:rPr>
                <w:rFonts w:ascii="仿宋_GB2312" w:hAnsi="仿宋_GB2312" w:eastAsia="仿宋_GB2312" w:cs="仿宋_GB2312"/>
                <w:bCs/>
                <w:sz w:val="28"/>
                <w:szCs w:val="28"/>
                <w:shd w:val="clear" w:color="auto" w:fill="FFFFFF"/>
              </w:rPr>
            </w:pPr>
            <w:r>
              <w:rPr>
                <w:rFonts w:hint="eastAsia" w:ascii="仿宋_GB2312" w:hAnsi="仿宋_GB2312" w:eastAsia="仿宋_GB2312" w:cs="仿宋_GB2312"/>
                <w:bCs/>
                <w:sz w:val="28"/>
                <w:szCs w:val="28"/>
                <w:shd w:val="clear" w:color="auto" w:fill="FFFFFF"/>
              </w:rPr>
              <w:t>项目名称</w:t>
            </w:r>
          </w:p>
        </w:tc>
        <w:tc>
          <w:tcPr>
            <w:tcW w:w="2115"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0E5B18FC">
            <w:pPr>
              <w:shd w:val="solid" w:color="FFFFFF" w:fill="auto"/>
              <w:autoSpaceDN w:val="0"/>
              <w:spacing w:line="420" w:lineRule="atLeast"/>
              <w:jc w:val="center"/>
              <w:rPr>
                <w:rFonts w:ascii="仿宋_GB2312" w:hAnsi="仿宋_GB2312" w:eastAsia="仿宋_GB2312" w:cs="仿宋_GB2312"/>
                <w:bCs/>
                <w:sz w:val="28"/>
                <w:szCs w:val="28"/>
                <w:shd w:val="clear" w:color="auto" w:fill="FFFFFF"/>
              </w:rPr>
            </w:pPr>
            <w:r>
              <w:rPr>
                <w:rFonts w:hint="eastAsia" w:ascii="仿宋_GB2312" w:hAnsi="仿宋_GB2312" w:eastAsia="仿宋_GB2312" w:cs="仿宋_GB2312"/>
                <w:bCs/>
                <w:sz w:val="28"/>
                <w:szCs w:val="28"/>
                <w:shd w:val="clear" w:color="auto" w:fill="FFFFFF"/>
              </w:rPr>
              <w:t>数量</w:t>
            </w:r>
          </w:p>
        </w:tc>
        <w:tc>
          <w:tcPr>
            <w:tcW w:w="2248"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7F47FA24">
            <w:pPr>
              <w:shd w:val="solid" w:color="FFFFFF" w:fill="auto"/>
              <w:autoSpaceDN w:val="0"/>
              <w:spacing w:line="420" w:lineRule="atLeast"/>
              <w:jc w:val="center"/>
              <w:rPr>
                <w:rFonts w:ascii="仿宋_GB2312" w:hAnsi="仿宋_GB2312" w:eastAsia="仿宋_GB2312" w:cs="仿宋_GB2312"/>
                <w:bCs/>
                <w:sz w:val="28"/>
                <w:szCs w:val="28"/>
                <w:shd w:val="clear" w:color="auto" w:fill="FFFFFF"/>
              </w:rPr>
            </w:pPr>
            <w:r>
              <w:rPr>
                <w:rFonts w:hint="eastAsia" w:ascii="仿宋_GB2312" w:hAnsi="仿宋_GB2312" w:eastAsia="仿宋_GB2312" w:cs="仿宋_GB2312"/>
                <w:bCs/>
                <w:sz w:val="28"/>
                <w:szCs w:val="28"/>
                <w:shd w:val="clear" w:color="auto" w:fill="FFFFFF"/>
              </w:rPr>
              <w:t>品牌及型号</w:t>
            </w:r>
          </w:p>
        </w:tc>
      </w:tr>
      <w:tr w14:paraId="59435E11">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454" w:hRule="exact"/>
        </w:trPr>
        <w:tc>
          <w:tcPr>
            <w:tcW w:w="1140" w:type="dxa"/>
            <w:tcBorders>
              <w:top w:val="nil"/>
              <w:left w:val="single" w:color="000000" w:sz="8" w:space="0"/>
              <w:bottom w:val="single" w:color="000000" w:sz="8" w:space="0"/>
              <w:right w:val="single" w:color="000000" w:sz="8" w:space="0"/>
            </w:tcBorders>
            <w:shd w:val="solid" w:color="FFFFFF" w:fill="auto"/>
            <w:tcMar>
              <w:top w:w="0" w:type="dxa"/>
              <w:left w:w="108" w:type="dxa"/>
              <w:bottom w:w="0" w:type="dxa"/>
              <w:right w:w="108" w:type="dxa"/>
            </w:tcMar>
            <w:vAlign w:val="center"/>
          </w:tcPr>
          <w:p w14:paraId="579B7093">
            <w:pPr>
              <w:shd w:val="solid" w:color="FFFFFF" w:fill="auto"/>
              <w:autoSpaceDN w:val="0"/>
              <w:spacing w:line="420" w:lineRule="atLeast"/>
              <w:jc w:val="center"/>
              <w:rPr>
                <w:rFonts w:ascii="仿宋_GB2312" w:hAnsi="仿宋_GB2312" w:eastAsia="仿宋_GB2312" w:cs="仿宋_GB2312"/>
                <w:bCs/>
                <w:sz w:val="28"/>
                <w:szCs w:val="28"/>
                <w:shd w:val="clear" w:color="auto" w:fill="FFFFFF"/>
              </w:rPr>
            </w:pPr>
            <w:r>
              <w:rPr>
                <w:rFonts w:hint="eastAsia" w:ascii="仿宋_GB2312" w:hAnsi="仿宋_GB2312" w:eastAsia="仿宋_GB2312" w:cs="仿宋_GB2312"/>
                <w:bCs/>
                <w:sz w:val="28"/>
                <w:szCs w:val="28"/>
                <w:shd w:val="clear" w:color="auto" w:fill="FFFFFF"/>
              </w:rPr>
              <w:t>1</w:t>
            </w:r>
          </w:p>
        </w:tc>
        <w:tc>
          <w:tcPr>
            <w:tcW w:w="2651"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3ACCABD7">
            <w:pPr>
              <w:shd w:val="solid" w:color="FFFFFF" w:fill="auto"/>
              <w:autoSpaceDN w:val="0"/>
              <w:spacing w:line="420" w:lineRule="atLeast"/>
              <w:rPr>
                <w:rFonts w:ascii="仿宋_GB2312" w:hAnsi="仿宋_GB2312" w:eastAsia="仿宋_GB2312" w:cs="仿宋_GB2312"/>
                <w:bCs/>
                <w:sz w:val="28"/>
                <w:szCs w:val="28"/>
                <w:shd w:val="clear" w:color="auto" w:fill="FFFFFF"/>
              </w:rPr>
            </w:pPr>
            <w:r>
              <w:rPr>
                <w:rFonts w:hint="eastAsia" w:ascii="仿宋_GB2312" w:hAnsi="仿宋_GB2312" w:eastAsia="仿宋_GB2312" w:cs="仿宋_GB2312"/>
                <w:bCs/>
                <w:sz w:val="28"/>
                <w:szCs w:val="28"/>
                <w:shd w:val="clear" w:color="auto" w:fill="FFFFFF"/>
              </w:rPr>
              <w:t xml:space="preserve"> </w:t>
            </w:r>
          </w:p>
        </w:tc>
        <w:tc>
          <w:tcPr>
            <w:tcW w:w="2115"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1B092ABB">
            <w:pPr>
              <w:shd w:val="solid" w:color="FFFFFF" w:fill="auto"/>
              <w:autoSpaceDN w:val="0"/>
              <w:spacing w:line="420" w:lineRule="atLeast"/>
              <w:rPr>
                <w:rFonts w:ascii="仿宋_GB2312" w:hAnsi="仿宋_GB2312" w:eastAsia="仿宋_GB2312" w:cs="仿宋_GB2312"/>
                <w:bCs/>
                <w:sz w:val="28"/>
                <w:szCs w:val="28"/>
                <w:shd w:val="clear" w:color="auto" w:fill="FFFFFF"/>
              </w:rPr>
            </w:pPr>
            <w:r>
              <w:rPr>
                <w:rFonts w:hint="eastAsia" w:ascii="仿宋_GB2312" w:hAnsi="仿宋_GB2312" w:eastAsia="仿宋_GB2312" w:cs="仿宋_GB2312"/>
                <w:bCs/>
                <w:sz w:val="28"/>
                <w:szCs w:val="28"/>
                <w:shd w:val="clear" w:color="auto" w:fill="FFFFFF"/>
              </w:rPr>
              <w:t xml:space="preserve"> </w:t>
            </w:r>
          </w:p>
        </w:tc>
        <w:tc>
          <w:tcPr>
            <w:tcW w:w="2248"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1C6BB9BF">
            <w:pPr>
              <w:shd w:val="solid" w:color="FFFFFF" w:fill="auto"/>
              <w:autoSpaceDN w:val="0"/>
              <w:spacing w:line="420" w:lineRule="atLeast"/>
              <w:rPr>
                <w:rFonts w:ascii="仿宋_GB2312" w:hAnsi="仿宋_GB2312" w:eastAsia="仿宋_GB2312" w:cs="仿宋_GB2312"/>
                <w:bCs/>
                <w:sz w:val="28"/>
                <w:szCs w:val="28"/>
                <w:shd w:val="clear" w:color="auto" w:fill="FFFFFF"/>
              </w:rPr>
            </w:pPr>
          </w:p>
        </w:tc>
      </w:tr>
      <w:tr w14:paraId="538A5032">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454" w:hRule="exact"/>
        </w:trPr>
        <w:tc>
          <w:tcPr>
            <w:tcW w:w="1140" w:type="dxa"/>
            <w:tcBorders>
              <w:top w:val="nil"/>
              <w:left w:val="single" w:color="000000" w:sz="8" w:space="0"/>
              <w:bottom w:val="single" w:color="000000" w:sz="8" w:space="0"/>
              <w:right w:val="single" w:color="000000" w:sz="8" w:space="0"/>
            </w:tcBorders>
            <w:shd w:val="solid" w:color="FFFFFF" w:fill="auto"/>
            <w:tcMar>
              <w:top w:w="0" w:type="dxa"/>
              <w:left w:w="108" w:type="dxa"/>
              <w:bottom w:w="0" w:type="dxa"/>
              <w:right w:w="108" w:type="dxa"/>
            </w:tcMar>
            <w:vAlign w:val="center"/>
          </w:tcPr>
          <w:p w14:paraId="67B8C495">
            <w:pPr>
              <w:shd w:val="solid" w:color="FFFFFF" w:fill="auto"/>
              <w:autoSpaceDN w:val="0"/>
              <w:spacing w:line="420" w:lineRule="atLeast"/>
              <w:jc w:val="center"/>
              <w:rPr>
                <w:rFonts w:ascii="仿宋_GB2312" w:hAnsi="仿宋_GB2312" w:eastAsia="仿宋_GB2312" w:cs="仿宋_GB2312"/>
                <w:bCs/>
                <w:sz w:val="28"/>
                <w:szCs w:val="28"/>
                <w:shd w:val="clear" w:color="auto" w:fill="FFFFFF"/>
              </w:rPr>
            </w:pPr>
            <w:r>
              <w:rPr>
                <w:rFonts w:hint="eastAsia" w:ascii="仿宋_GB2312" w:hAnsi="仿宋_GB2312" w:eastAsia="仿宋_GB2312" w:cs="仿宋_GB2312"/>
                <w:bCs/>
                <w:sz w:val="28"/>
                <w:szCs w:val="28"/>
                <w:shd w:val="clear" w:color="auto" w:fill="FFFFFF"/>
              </w:rPr>
              <w:t>2</w:t>
            </w:r>
          </w:p>
        </w:tc>
        <w:tc>
          <w:tcPr>
            <w:tcW w:w="2651"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48A0488A">
            <w:pPr>
              <w:shd w:val="solid" w:color="FFFFFF" w:fill="auto"/>
              <w:autoSpaceDN w:val="0"/>
              <w:spacing w:line="420" w:lineRule="atLeast"/>
              <w:rPr>
                <w:rFonts w:ascii="仿宋_GB2312" w:hAnsi="仿宋_GB2312" w:eastAsia="仿宋_GB2312" w:cs="仿宋_GB2312"/>
                <w:bCs/>
                <w:sz w:val="28"/>
                <w:szCs w:val="28"/>
                <w:shd w:val="clear" w:color="auto" w:fill="FFFFFF"/>
              </w:rPr>
            </w:pPr>
            <w:r>
              <w:rPr>
                <w:rFonts w:hint="eastAsia" w:ascii="仿宋_GB2312" w:hAnsi="仿宋_GB2312" w:eastAsia="仿宋_GB2312" w:cs="仿宋_GB2312"/>
                <w:bCs/>
                <w:sz w:val="28"/>
                <w:szCs w:val="28"/>
                <w:shd w:val="clear" w:color="auto" w:fill="FFFFFF"/>
              </w:rPr>
              <w:t xml:space="preserve"> </w:t>
            </w:r>
          </w:p>
        </w:tc>
        <w:tc>
          <w:tcPr>
            <w:tcW w:w="2115"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230F8636">
            <w:pPr>
              <w:shd w:val="solid" w:color="FFFFFF" w:fill="auto"/>
              <w:autoSpaceDN w:val="0"/>
              <w:spacing w:line="420" w:lineRule="atLeast"/>
              <w:rPr>
                <w:rFonts w:ascii="仿宋_GB2312" w:hAnsi="仿宋_GB2312" w:eastAsia="仿宋_GB2312" w:cs="仿宋_GB2312"/>
                <w:bCs/>
                <w:sz w:val="28"/>
                <w:szCs w:val="28"/>
                <w:shd w:val="clear" w:color="auto" w:fill="FFFFFF"/>
              </w:rPr>
            </w:pPr>
            <w:r>
              <w:rPr>
                <w:rFonts w:hint="eastAsia" w:ascii="仿宋_GB2312" w:hAnsi="仿宋_GB2312" w:eastAsia="仿宋_GB2312" w:cs="仿宋_GB2312"/>
                <w:bCs/>
                <w:sz w:val="28"/>
                <w:szCs w:val="28"/>
                <w:shd w:val="clear" w:color="auto" w:fill="FFFFFF"/>
              </w:rPr>
              <w:t xml:space="preserve"> </w:t>
            </w:r>
          </w:p>
        </w:tc>
        <w:tc>
          <w:tcPr>
            <w:tcW w:w="2248"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52EC2657">
            <w:pPr>
              <w:shd w:val="solid" w:color="FFFFFF" w:fill="auto"/>
              <w:autoSpaceDN w:val="0"/>
              <w:spacing w:line="420" w:lineRule="atLeast"/>
              <w:rPr>
                <w:rFonts w:ascii="仿宋_GB2312" w:hAnsi="仿宋_GB2312" w:eastAsia="仿宋_GB2312" w:cs="仿宋_GB2312"/>
                <w:bCs/>
                <w:sz w:val="28"/>
                <w:szCs w:val="28"/>
                <w:shd w:val="clear" w:color="auto" w:fill="FFFFFF"/>
              </w:rPr>
            </w:pPr>
          </w:p>
        </w:tc>
      </w:tr>
    </w:tbl>
    <w:p w14:paraId="4E2BC779">
      <w:pPr>
        <w:shd w:val="solid" w:color="FFFFFF" w:fill="auto"/>
        <w:autoSpaceDN w:val="0"/>
        <w:spacing w:line="420" w:lineRule="atLeast"/>
        <w:rPr>
          <w:rFonts w:ascii="仿宋_GB2312" w:hAnsi="仿宋_GB2312" w:eastAsia="仿宋_GB2312" w:cs="仿宋_GB2312"/>
          <w:bCs/>
          <w:sz w:val="32"/>
          <w:szCs w:val="32"/>
          <w:shd w:val="clear" w:color="auto" w:fill="FFFFFF"/>
        </w:rPr>
      </w:pPr>
    </w:p>
    <w:p w14:paraId="4655E479">
      <w:pPr>
        <w:shd w:val="solid" w:color="FFFFFF" w:fill="auto"/>
        <w:autoSpaceDN w:val="0"/>
        <w:spacing w:line="500" w:lineRule="exact"/>
        <w:rPr>
          <w:rFonts w:ascii="仿宋_GB2312" w:hAnsi="仿宋_GB2312" w:eastAsia="仿宋_GB2312" w:cs="仿宋_GB2312"/>
          <w:bCs/>
          <w:sz w:val="32"/>
          <w:szCs w:val="32"/>
          <w:shd w:val="clear" w:color="auto" w:fill="FFFFFF"/>
        </w:rPr>
      </w:pPr>
    </w:p>
    <w:p w14:paraId="75903972">
      <w:pPr>
        <w:shd w:val="solid" w:color="FFFFFF" w:fill="auto"/>
        <w:autoSpaceDN w:val="0"/>
        <w:spacing w:line="500" w:lineRule="exact"/>
        <w:rPr>
          <w:rFonts w:ascii="仿宋_GB2312" w:hAnsi="仿宋_GB2312" w:eastAsia="仿宋_GB2312" w:cs="仿宋_GB2312"/>
          <w:bCs/>
          <w:sz w:val="32"/>
          <w:szCs w:val="32"/>
          <w:shd w:val="clear" w:color="auto" w:fill="FFFFFF"/>
        </w:rPr>
      </w:pPr>
      <w:r>
        <w:rPr>
          <w:rFonts w:hint="eastAsia" w:ascii="仿宋_GB2312" w:hAnsi="仿宋_GB2312" w:eastAsia="仿宋_GB2312" w:cs="仿宋_GB2312"/>
          <w:bCs/>
          <w:sz w:val="32"/>
          <w:szCs w:val="32"/>
          <w:shd w:val="clear" w:color="auto" w:fill="FFFFFF"/>
        </w:rPr>
        <w:t>公司名称：</w:t>
      </w:r>
    </w:p>
    <w:p w14:paraId="19570AC3">
      <w:pPr>
        <w:shd w:val="solid" w:color="FFFFFF" w:fill="auto"/>
        <w:autoSpaceDN w:val="0"/>
        <w:spacing w:line="500" w:lineRule="exact"/>
        <w:rPr>
          <w:rFonts w:ascii="仿宋_GB2312" w:hAnsi="仿宋_GB2312" w:eastAsia="仿宋_GB2312" w:cs="仿宋_GB2312"/>
          <w:bCs/>
          <w:sz w:val="32"/>
          <w:szCs w:val="32"/>
          <w:shd w:val="clear" w:color="auto" w:fill="FFFFFF"/>
        </w:rPr>
      </w:pPr>
      <w:r>
        <w:rPr>
          <w:rFonts w:hint="eastAsia" w:ascii="仿宋_GB2312" w:hAnsi="仿宋_GB2312" w:eastAsia="仿宋_GB2312" w:cs="仿宋_GB2312"/>
          <w:bCs/>
          <w:sz w:val="32"/>
          <w:szCs w:val="32"/>
          <w:shd w:val="clear" w:color="auto" w:fill="FFFFFF"/>
        </w:rPr>
        <w:t>联系人：</w:t>
      </w:r>
    </w:p>
    <w:p w14:paraId="3CBF8E34">
      <w:pPr>
        <w:shd w:val="solid" w:color="FFFFFF" w:fill="auto"/>
        <w:autoSpaceDN w:val="0"/>
        <w:spacing w:line="500" w:lineRule="exact"/>
        <w:rPr>
          <w:rFonts w:ascii="仿宋_GB2312" w:hAnsi="仿宋_GB2312" w:eastAsia="仿宋_GB2312" w:cs="仿宋_GB2312"/>
          <w:bCs/>
          <w:sz w:val="32"/>
          <w:szCs w:val="32"/>
          <w:shd w:val="clear" w:color="auto" w:fill="FFFFFF"/>
        </w:rPr>
      </w:pPr>
      <w:r>
        <w:rPr>
          <w:rFonts w:hint="eastAsia" w:ascii="仿宋_GB2312" w:hAnsi="仿宋_GB2312" w:eastAsia="仿宋_GB2312" w:cs="仿宋_GB2312"/>
          <w:bCs/>
          <w:sz w:val="32"/>
          <w:szCs w:val="32"/>
          <w:shd w:val="clear" w:color="auto" w:fill="FFFFFF"/>
        </w:rPr>
        <w:t>联系电话：</w:t>
      </w:r>
    </w:p>
    <w:p w14:paraId="76D22266">
      <w:pPr>
        <w:shd w:val="solid" w:color="FFFFFF" w:fill="auto"/>
        <w:autoSpaceDN w:val="0"/>
        <w:spacing w:line="500" w:lineRule="exact"/>
        <w:rPr>
          <w:rFonts w:ascii="仿宋_GB2312" w:hAnsi="仿宋_GB2312" w:eastAsia="仿宋_GB2312" w:cs="仿宋_GB2312"/>
          <w:bCs/>
          <w:sz w:val="32"/>
          <w:szCs w:val="32"/>
          <w:shd w:val="clear" w:color="auto" w:fill="FFFFFF"/>
        </w:rPr>
      </w:pPr>
      <w:r>
        <w:rPr>
          <w:rFonts w:hint="eastAsia" w:ascii="仿宋_GB2312" w:hAnsi="仿宋_GB2312" w:eastAsia="仿宋_GB2312" w:cs="仿宋_GB2312"/>
          <w:bCs/>
          <w:sz w:val="32"/>
          <w:szCs w:val="32"/>
          <w:shd w:val="clear" w:color="auto" w:fill="FFFFFF"/>
        </w:rPr>
        <w:t>公司盖章：</w:t>
      </w:r>
    </w:p>
    <w:p w14:paraId="4F59BBAD">
      <w:pPr>
        <w:shd w:val="solid" w:color="FFFFFF" w:fill="auto"/>
        <w:autoSpaceDN w:val="0"/>
        <w:spacing w:line="500" w:lineRule="exact"/>
        <w:rPr>
          <w:rFonts w:ascii="仿宋_GB2312" w:hAnsi="仿宋_GB2312" w:eastAsia="仿宋_GB2312" w:cs="仿宋_GB2312"/>
          <w:bCs/>
          <w:sz w:val="32"/>
          <w:szCs w:val="32"/>
          <w:shd w:val="clear" w:color="auto" w:fill="FFFFFF"/>
        </w:rPr>
      </w:pPr>
    </w:p>
    <w:p w14:paraId="1BBE5DC3">
      <w:pPr>
        <w:pStyle w:val="15"/>
        <w:numPr>
          <w:ilvl w:val="0"/>
          <w:numId w:val="0"/>
        </w:numPr>
        <w:rPr>
          <w:rFonts w:hint="eastAsia"/>
          <w:shd w:val="clear" w:color="auto" w:fill="FFFFFF"/>
        </w:rPr>
      </w:pPr>
    </w:p>
    <w:p w14:paraId="1AF82A65">
      <w:pPr>
        <w:pStyle w:val="15"/>
        <w:numPr>
          <w:ilvl w:val="0"/>
          <w:numId w:val="0"/>
        </w:numPr>
      </w:pPr>
      <w:r>
        <w:rPr>
          <w:rFonts w:hint="eastAsia"/>
        </w:rPr>
        <w:t xml:space="preserve">                                        福建省肿瘤医院</w:t>
      </w:r>
    </w:p>
    <w:p w14:paraId="2D302059">
      <w:pPr>
        <w:pStyle w:val="15"/>
        <w:numPr>
          <w:ilvl w:val="0"/>
          <w:numId w:val="0"/>
        </w:numPr>
      </w:pPr>
      <w:r>
        <w:rPr>
          <w:rFonts w:hint="eastAsia"/>
        </w:rPr>
        <w:t xml:space="preserve">                                           年  月  日</w:t>
      </w:r>
    </w:p>
    <w:bookmarkEnd w:id="0"/>
    <w:sectPr>
      <w:footerReference r:id="rId3" w:type="default"/>
      <w:pgSz w:w="12240" w:h="15840"/>
      <w:pgMar w:top="1134" w:right="1587" w:bottom="1134" w:left="1587" w:header="720" w:footer="720" w:gutter="0"/>
      <w:cols w:space="720" w:num="1"/>
      <w:docGrid w:type="lines" w:linePitch="31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楷体">
    <w:altName w:val="宋体"/>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243DD1">
    <w:pPr>
      <w:pStyle w:val="7"/>
    </w:pPr>
    <w:r>
      <w:rPr>
        <w:rFonts w:cs="Times New Roma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67945" cy="162560"/>
              <wp:effectExtent l="0" t="0" r="0" b="0"/>
              <wp:wrapNone/>
              <wp:docPr id="1" name="Quad Arrow 1025"/>
              <wp:cNvGraphicFramePr/>
              <a:graphic xmlns:a="http://schemas.openxmlformats.org/drawingml/2006/main">
                <a:graphicData uri="http://schemas.microsoft.com/office/word/2010/wordprocessingShape">
                  <wps:wsp>
                    <wps:cNvSpPr/>
                    <wps:spPr>
                      <a:xfrm>
                        <a:off x="0" y="0"/>
                        <a:ext cx="67945" cy="162560"/>
                      </a:xfrm>
                      <a:prstGeom prst="rect">
                        <a:avLst/>
                      </a:prstGeom>
                      <a:noFill/>
                      <a:ln>
                        <a:noFill/>
                      </a:ln>
                    </wps:spPr>
                    <wps:txbx>
                      <w:txbxContent>
                        <w:p w14:paraId="36F11EF9">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1</w:t>
                          </w:r>
                          <w:r>
                            <w:rPr>
                              <w:rFonts w:hint="eastAsia"/>
                              <w:sz w:val="18"/>
                            </w:rPr>
                            <w:fldChar w:fldCharType="end"/>
                          </w:r>
                        </w:p>
                      </w:txbxContent>
                    </wps:txbx>
                    <wps:bodyPr wrap="none" lIns="0" tIns="0" rIns="0" bIns="0" upright="1">
                      <a:spAutoFit/>
                    </wps:bodyPr>
                  </wps:wsp>
                </a:graphicData>
              </a:graphic>
            </wp:anchor>
          </w:drawing>
        </mc:Choice>
        <mc:Fallback>
          <w:pict>
            <v:rect id="Quad Arrow 1025" o:spid="_x0000_s1026" o:spt="1" style="position:absolute;left:0pt;margin-top:0pt;height:12.8pt;width:5.35pt;mso-position-horizontal:center;mso-position-horizontal-relative:margin;mso-wrap-style:none;z-index:251659264;mso-width-relative:page;mso-height-relative:page;" filled="f" stroked="f" coordsize="21600,21600" o:gfxdata="UEsDBAoAAAAAAIdO4kAAAAAAAAAAAAAAAAAEAAAAZHJzL1BLAwQUAAAACACHTuJAXFpMj9EAAAAD&#10;AQAADwAAAGRycy9kb3ducmV2LnhtbE2PzWrDMBCE74W+g9hCb40UQ9Pgep1DINCWXuL0ARRr/UOk&#10;lZGUOH37Kr20l4Vhhplvq83VWXGhEEfPCMuFAkHcejNyj/B12D2tQcSk2WjrmRC+KcKmvr+rdGn8&#10;zHu6NKkXuYRjqRGGlKZSytgO5HRc+Ik4e50PTqcsQy9N0HMud1YWSq2k0yPnhUFPtB2oPTVnhyAP&#10;zW5eNzYo/1F0n/b9bd+RR3x8WKpXEImu6S8MN/yMDnVmOvozmygsQn4k/d6bp15AHBGK5xXIupL/&#10;2esfUEsDBBQAAAAIAIdO4kA8wXDbvQEAAJADAAAOAAAAZHJzL2Uyb0RvYy54bWytU02P0zAQvSPx&#10;HyzfaZKKFoiarlaqFiEhWLTwA1zHaSz5SzNOk/57xk7aheWyBy7JeDx5896bye5usoadFaD2ruHV&#10;quRMOelb7U4N//Xz4d1HzjAK1wrjnWr4RSG/2799sxtDrda+96ZVwAjEYT2GhvcxhrooUPbKClz5&#10;oBxddh6siHSEU9GCGAndmmJdltti9NAG8FIhUvYwX/IFEV4D6LtOS3XwcrDKxRkVlBGRJGGvA/J9&#10;Ztt1SsbvXYcqMtNwUhrzk5pQfEzPYr8T9QlE6LVcKIjXUHihyQrtqOkN6iCiYAPof6CsluDRd3El&#10;vS1mIdkRUlGVL7x56kVQWQtZjeFmOv4/WPnt/AhMt7QJnDlhaeA/BtGyewA/sqpcb5JFY8CaKp/C&#10;IywnpDDpnTqw6U1K2JRtvdxsVVNkkpLbD5/ebziTdFNt15ttdr14/jYAxs/KW5aChgMNLXspzl8x&#10;Uj8qvZakVs4/aGPy4Iz7K0GFKVMkujPBFMXpOC2sj769kNyR5t1wR+vNmfniyM60GtcArsHxGgwB&#10;9KknalXmheF+iEQic0sdZtilMQ0qU16WKm3Cn+dc9fwj7X8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XFpMj9EAAAADAQAADwAAAAAAAAABACAAAAAiAAAAZHJzL2Rvd25yZXYueG1sUEsBAhQAFAAA&#10;AAgAh07iQDzBcNu9AQAAkAMAAA4AAAAAAAAAAQAgAAAAIAEAAGRycy9lMm9Eb2MueG1sUEsFBgAA&#10;AAAGAAYAWQEAAE8FAAAAAA==&#10;">
              <v:fill on="f" focussize="0,0"/>
              <v:stroke on="f"/>
              <v:imagedata o:title=""/>
              <o:lock v:ext="edit" aspectratio="f"/>
              <v:textbox inset="0mm,0mm,0mm,0mm" style="mso-fit-shape-to-text:t;">
                <w:txbxContent>
                  <w:p w14:paraId="36F11EF9">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1</w:t>
                    </w:r>
                    <w:r>
                      <w:rPr>
                        <w:rFonts w:hint="eastAsia"/>
                        <w:sz w:val="18"/>
                      </w:rPr>
                      <w:fldChar w:fldCharType="end"/>
                    </w:r>
                  </w:p>
                </w:txbxContent>
              </v:textbox>
            </v:rect>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4C45B35"/>
    <w:multiLevelType w:val="multilevel"/>
    <w:tmpl w:val="14C45B35"/>
    <w:lvl w:ilvl="0" w:tentative="0">
      <w:start w:val="1"/>
      <w:numFmt w:val="decimal"/>
      <w:pStyle w:val="15"/>
      <w:suff w:val="nothing"/>
      <w:lvlText w:val="%1、"/>
      <w:lvlJc w:val="left"/>
      <w:pPr>
        <w:ind w:left="0" w:firstLine="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
    <w:nsid w:val="4C536308"/>
    <w:multiLevelType w:val="multilevel"/>
    <w:tmpl w:val="4C536308"/>
    <w:lvl w:ilvl="0" w:tentative="0">
      <w:start w:val="1"/>
      <w:numFmt w:val="decimal"/>
      <w:suff w:val="nothing"/>
      <w:lvlText w:val="%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
    <w:nsid w:val="53551602"/>
    <w:multiLevelType w:val="singleLevel"/>
    <w:tmpl w:val="53551602"/>
    <w:lvl w:ilvl="0" w:tentative="0">
      <w:start w:val="3"/>
      <w:numFmt w:val="chineseCounting"/>
      <w:suff w:val="nothing"/>
      <w:lvlText w:val="%1、"/>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RlNzZiNjE1N2NiNDY1MjdjNTllOWUxMWU4Y2ZiZGQifQ=="/>
  </w:docVars>
  <w:rsids>
    <w:rsidRoot w:val="007F5E91"/>
    <w:rsid w:val="00056FD3"/>
    <w:rsid w:val="00064CF7"/>
    <w:rsid w:val="000668D0"/>
    <w:rsid w:val="0006752C"/>
    <w:rsid w:val="00145059"/>
    <w:rsid w:val="001450F5"/>
    <w:rsid w:val="00151F0B"/>
    <w:rsid w:val="001C529E"/>
    <w:rsid w:val="00222D5E"/>
    <w:rsid w:val="00276A66"/>
    <w:rsid w:val="002E34EF"/>
    <w:rsid w:val="00304242"/>
    <w:rsid w:val="003344FC"/>
    <w:rsid w:val="003471EE"/>
    <w:rsid w:val="0037008D"/>
    <w:rsid w:val="003C6828"/>
    <w:rsid w:val="0041496F"/>
    <w:rsid w:val="004215C8"/>
    <w:rsid w:val="00443A94"/>
    <w:rsid w:val="00453B7D"/>
    <w:rsid w:val="0046074A"/>
    <w:rsid w:val="00475968"/>
    <w:rsid w:val="00477292"/>
    <w:rsid w:val="00495B0B"/>
    <w:rsid w:val="00495C79"/>
    <w:rsid w:val="004D66FE"/>
    <w:rsid w:val="004F229F"/>
    <w:rsid w:val="00552C87"/>
    <w:rsid w:val="00591F5D"/>
    <w:rsid w:val="005B4571"/>
    <w:rsid w:val="00614AF3"/>
    <w:rsid w:val="006349EF"/>
    <w:rsid w:val="00644982"/>
    <w:rsid w:val="00682E22"/>
    <w:rsid w:val="00687F93"/>
    <w:rsid w:val="006B2FCE"/>
    <w:rsid w:val="006C5F5C"/>
    <w:rsid w:val="006E5489"/>
    <w:rsid w:val="007065CD"/>
    <w:rsid w:val="00732792"/>
    <w:rsid w:val="00750EF9"/>
    <w:rsid w:val="00755478"/>
    <w:rsid w:val="007C1C5B"/>
    <w:rsid w:val="007D1A45"/>
    <w:rsid w:val="007F5E91"/>
    <w:rsid w:val="008315EE"/>
    <w:rsid w:val="00831908"/>
    <w:rsid w:val="008A3C60"/>
    <w:rsid w:val="00926A96"/>
    <w:rsid w:val="00953081"/>
    <w:rsid w:val="009546D8"/>
    <w:rsid w:val="009B7643"/>
    <w:rsid w:val="009C50DA"/>
    <w:rsid w:val="00A856E3"/>
    <w:rsid w:val="00A92D36"/>
    <w:rsid w:val="00A93842"/>
    <w:rsid w:val="00AE1E79"/>
    <w:rsid w:val="00AF60EB"/>
    <w:rsid w:val="00B1766D"/>
    <w:rsid w:val="00B64394"/>
    <w:rsid w:val="00BF5172"/>
    <w:rsid w:val="00BF7BAC"/>
    <w:rsid w:val="00C647B9"/>
    <w:rsid w:val="00C853A3"/>
    <w:rsid w:val="00D84BFC"/>
    <w:rsid w:val="00DB0365"/>
    <w:rsid w:val="00DE7B40"/>
    <w:rsid w:val="00E71FBE"/>
    <w:rsid w:val="00EC5704"/>
    <w:rsid w:val="00ED5137"/>
    <w:rsid w:val="00EE3263"/>
    <w:rsid w:val="00FB3EE7"/>
    <w:rsid w:val="00FD162F"/>
    <w:rsid w:val="015147B1"/>
    <w:rsid w:val="028866AD"/>
    <w:rsid w:val="060E0879"/>
    <w:rsid w:val="072B1ACF"/>
    <w:rsid w:val="09BD6B8A"/>
    <w:rsid w:val="0FED7751"/>
    <w:rsid w:val="167334FD"/>
    <w:rsid w:val="1EFB2F7A"/>
    <w:rsid w:val="2580275F"/>
    <w:rsid w:val="2A1D36D9"/>
    <w:rsid w:val="379A19A6"/>
    <w:rsid w:val="3BE13D5E"/>
    <w:rsid w:val="3D145A6E"/>
    <w:rsid w:val="3DEC20E9"/>
    <w:rsid w:val="43420014"/>
    <w:rsid w:val="4CDF8747"/>
    <w:rsid w:val="4EEA5B05"/>
    <w:rsid w:val="520420FD"/>
    <w:rsid w:val="5272003F"/>
    <w:rsid w:val="533F7A58"/>
    <w:rsid w:val="53637E9A"/>
    <w:rsid w:val="5E6D4CD6"/>
    <w:rsid w:val="6522418B"/>
    <w:rsid w:val="72BC0D51"/>
    <w:rsid w:val="7EFDE5E4"/>
    <w:rsid w:val="9FF5B466"/>
    <w:rsid w:val="BFEFF203"/>
    <w:rsid w:val="DEF97A51"/>
    <w:rsid w:val="FFF706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黑体"/>
      <w:kern w:val="2"/>
      <w:sz w:val="21"/>
      <w:szCs w:val="24"/>
      <w:lang w:val="en-US" w:eastAsia="zh-CN" w:bidi="ar-SA"/>
    </w:rPr>
  </w:style>
  <w:style w:type="paragraph" w:styleId="4">
    <w:name w:val="heading 1"/>
    <w:basedOn w:val="1"/>
    <w:next w:val="1"/>
    <w:qFormat/>
    <w:uiPriority w:val="0"/>
    <w:pPr>
      <w:keepNext/>
      <w:keepLines/>
      <w:spacing w:line="576" w:lineRule="auto"/>
      <w:outlineLvl w:val="0"/>
    </w:pPr>
    <w:rPr>
      <w:b/>
      <w:kern w:val="44"/>
      <w:sz w:val="44"/>
    </w:rPr>
  </w:style>
  <w:style w:type="paragraph" w:styleId="5">
    <w:name w:val="heading 2"/>
    <w:basedOn w:val="1"/>
    <w:next w:val="1"/>
    <w:unhideWhenUsed/>
    <w:qFormat/>
    <w:uiPriority w:val="9"/>
    <w:pPr>
      <w:keepNext/>
      <w:keepLines/>
      <w:snapToGrid w:val="0"/>
      <w:spacing w:line="300" w:lineRule="auto"/>
      <w:ind w:firstLine="200" w:firstLineChars="200"/>
      <w:outlineLvl w:val="1"/>
    </w:pPr>
    <w:rPr>
      <w:rFonts w:ascii="Arial" w:hAnsi="Arial"/>
      <w:b/>
      <w:bCs/>
      <w:szCs w:val="32"/>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unhideWhenUsed/>
    <w:qFormat/>
    <w:uiPriority w:val="99"/>
    <w:rPr>
      <w:rFonts w:ascii="仿宋_GB2312" w:eastAsia="仿宋_GB2312"/>
      <w:sz w:val="32"/>
    </w:rPr>
  </w:style>
  <w:style w:type="paragraph" w:customStyle="1" w:styleId="3">
    <w:name w:val="引用1"/>
    <w:basedOn w:val="1"/>
    <w:next w:val="1"/>
    <w:qFormat/>
    <w:uiPriority w:val="29"/>
    <w:pPr>
      <w:spacing w:beforeLines="50" w:afterLines="50" w:line="360" w:lineRule="auto"/>
    </w:pPr>
    <w:rPr>
      <w:i/>
      <w:iCs/>
      <w:color w:val="000000"/>
      <w:lang w:val="zh-CN"/>
    </w:rPr>
  </w:style>
  <w:style w:type="paragraph" w:styleId="6">
    <w:name w:val="annotation text"/>
    <w:basedOn w:val="1"/>
    <w:link w:val="20"/>
    <w:qFormat/>
    <w:uiPriority w:val="0"/>
    <w:pPr>
      <w:jc w:val="left"/>
    </w:pPr>
  </w:style>
  <w:style w:type="paragraph" w:styleId="7">
    <w:name w:val="footer"/>
    <w:basedOn w:val="1"/>
    <w:qFormat/>
    <w:uiPriority w:val="99"/>
    <w:pPr>
      <w:tabs>
        <w:tab w:val="center" w:pos="4153"/>
        <w:tab w:val="right" w:pos="8306"/>
      </w:tabs>
      <w:snapToGrid w:val="0"/>
      <w:jc w:val="left"/>
    </w:pPr>
    <w:rPr>
      <w:sz w:val="18"/>
      <w:szCs w:val="18"/>
    </w:rPr>
  </w:style>
  <w:style w:type="paragraph" w:styleId="8">
    <w:name w:val="header"/>
    <w:basedOn w:val="1"/>
    <w:link w:val="22"/>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spacing w:line="336" w:lineRule="auto"/>
      <w:jc w:val="left"/>
    </w:pPr>
    <w:rPr>
      <w:rFonts w:ascii="宋体" w:hAnsi="宋体"/>
      <w:kern w:val="0"/>
      <w:sz w:val="24"/>
    </w:rPr>
  </w:style>
  <w:style w:type="paragraph" w:styleId="10">
    <w:name w:val="annotation subject"/>
    <w:basedOn w:val="6"/>
    <w:next w:val="6"/>
    <w:link w:val="21"/>
    <w:qFormat/>
    <w:uiPriority w:val="0"/>
    <w:rPr>
      <w:b/>
      <w:bCs/>
    </w:rPr>
  </w:style>
  <w:style w:type="character" w:styleId="13">
    <w:name w:val="Strong"/>
    <w:qFormat/>
    <w:uiPriority w:val="0"/>
    <w:rPr>
      <w:b/>
    </w:rPr>
  </w:style>
  <w:style w:type="character" w:styleId="14">
    <w:name w:val="annotation reference"/>
    <w:basedOn w:val="12"/>
    <w:qFormat/>
    <w:uiPriority w:val="0"/>
    <w:rPr>
      <w:sz w:val="21"/>
      <w:szCs w:val="21"/>
    </w:rPr>
  </w:style>
  <w:style w:type="paragraph" w:customStyle="1" w:styleId="15">
    <w:name w:val="Fließtext"/>
    <w:basedOn w:val="1"/>
    <w:qFormat/>
    <w:uiPriority w:val="0"/>
    <w:pPr>
      <w:numPr>
        <w:ilvl w:val="0"/>
        <w:numId w:val="1"/>
      </w:numPr>
      <w:overflowPunct w:val="0"/>
      <w:autoSpaceDE w:val="0"/>
      <w:autoSpaceDN w:val="0"/>
      <w:adjustRightInd w:val="0"/>
      <w:textAlignment w:val="baseline"/>
    </w:pPr>
    <w:rPr>
      <w:rFonts w:ascii="仿宋_GB2312" w:hAnsi="仿宋_GB2312" w:eastAsia="仿宋_GB2312" w:cs="仿宋_GB2312"/>
      <w:kern w:val="0"/>
      <w:sz w:val="32"/>
      <w:szCs w:val="32"/>
    </w:rPr>
  </w:style>
  <w:style w:type="paragraph" w:customStyle="1" w:styleId="16">
    <w:name w:val="xl35"/>
    <w:basedOn w:val="1"/>
    <w:qFormat/>
    <w:uiPriority w:val="0"/>
    <w:pPr>
      <w:pBdr>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sz w:val="24"/>
    </w:rPr>
  </w:style>
  <w:style w:type="paragraph" w:customStyle="1" w:styleId="17">
    <w:name w:val="列表段落1"/>
    <w:basedOn w:val="1"/>
    <w:qFormat/>
    <w:uiPriority w:val="34"/>
    <w:pPr>
      <w:ind w:firstLine="420" w:firstLineChars="200"/>
    </w:pPr>
  </w:style>
  <w:style w:type="paragraph" w:customStyle="1" w:styleId="18">
    <w:name w:val="p0"/>
    <w:basedOn w:val="1"/>
    <w:qFormat/>
    <w:uiPriority w:val="0"/>
    <w:pPr>
      <w:widowControl/>
      <w:spacing w:before="100" w:beforeAutospacing="1" w:after="100" w:afterAutospacing="1"/>
      <w:jc w:val="left"/>
    </w:pPr>
    <w:rPr>
      <w:rFonts w:ascii="宋体" w:hAnsi="宋体" w:cs="宋体"/>
      <w:kern w:val="0"/>
      <w:sz w:val="24"/>
    </w:rPr>
  </w:style>
  <w:style w:type="paragraph" w:styleId="19">
    <w:name w:val="List Paragraph"/>
    <w:basedOn w:val="1"/>
    <w:qFormat/>
    <w:uiPriority w:val="34"/>
    <w:pPr>
      <w:widowControl/>
      <w:spacing w:line="360" w:lineRule="auto"/>
      <w:ind w:firstLine="420" w:firstLineChars="200"/>
      <w:jc w:val="left"/>
    </w:pPr>
    <w:rPr>
      <w:rFonts w:ascii="Times New Roman" w:hAnsi="Times New Roman" w:cstheme="minorBidi"/>
      <w:sz w:val="24"/>
    </w:rPr>
  </w:style>
  <w:style w:type="character" w:customStyle="1" w:styleId="20">
    <w:name w:val="批注文字 字符"/>
    <w:basedOn w:val="12"/>
    <w:link w:val="6"/>
    <w:qFormat/>
    <w:uiPriority w:val="0"/>
    <w:rPr>
      <w:rFonts w:ascii="Calibri" w:hAnsi="Calibri" w:cs="黑体"/>
      <w:kern w:val="2"/>
      <w:sz w:val="21"/>
      <w:szCs w:val="24"/>
    </w:rPr>
  </w:style>
  <w:style w:type="character" w:customStyle="1" w:styleId="21">
    <w:name w:val="批注主题 字符"/>
    <w:basedOn w:val="20"/>
    <w:link w:val="10"/>
    <w:qFormat/>
    <w:uiPriority w:val="0"/>
    <w:rPr>
      <w:rFonts w:ascii="Calibri" w:hAnsi="Calibri" w:cs="黑体"/>
      <w:b/>
      <w:bCs/>
      <w:kern w:val="2"/>
      <w:sz w:val="21"/>
      <w:szCs w:val="24"/>
    </w:rPr>
  </w:style>
  <w:style w:type="character" w:customStyle="1" w:styleId="22">
    <w:name w:val="页眉 字符"/>
    <w:basedOn w:val="12"/>
    <w:link w:val="8"/>
    <w:qFormat/>
    <w:uiPriority w:val="0"/>
    <w:rPr>
      <w:rFonts w:ascii="Calibri" w:hAnsi="Calibri" w:cs="黑体"/>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1976</Words>
  <Characters>2190</Characters>
  <Lines>73</Lines>
  <Paragraphs>92</Paragraphs>
  <TotalTime>1</TotalTime>
  <ScaleCrop>false</ScaleCrop>
  <LinksUpToDate>false</LinksUpToDate>
  <CharactersWithSpaces>2328</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2023-05-30T14:42:00Z</dcterms:created>
  <dc:creator>Admin</dc:creator>
  <cp:lastModifiedBy>网络办</cp:lastModifiedBy>
  <cp:lastPrinted>2023-06-20T15:45:00Z</cp:lastPrinted>
  <dcterms:modified xsi:type="dcterms:W3CDTF">2025-12-30T08:06:11Z</dcterms:modified>
  <dc:title>设备科：</dc:title>
  <cp:revision>132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620BE933B22D45C9B5535BC8E7AEBA75_13</vt:lpwstr>
  </property>
  <property fmtid="{D5CDD505-2E9C-101B-9397-08002B2CF9AE}" pid="4" name="KSOTemplateDocerSaveRecord">
    <vt:lpwstr>eyJoZGlkIjoiMzcyYzQ4MzExOWIxM2ZmZWE3MDIzNjczNzVlZjFmOWYiLCJ1c2VySWQiOiIxNzAwODQwNTc2In0=</vt:lpwstr>
  </property>
</Properties>
</file>