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CD970">
      <w:pPr>
        <w:pStyle w:val="2"/>
        <w:spacing w:line="360" w:lineRule="auto"/>
        <w:jc w:val="center"/>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福建省肿瘤医院</w:t>
      </w:r>
      <w:r>
        <w:rPr>
          <w:rFonts w:hint="eastAsia" w:ascii="方正小标宋简体" w:hAnsi="方正小标宋简体" w:eastAsia="方正小标宋简体" w:cs="方正小标宋简体"/>
          <w:b w:val="0"/>
          <w:kern w:val="2"/>
          <w:szCs w:val="44"/>
          <w:lang w:val="en-US" w:eastAsia="zh-CN"/>
        </w:rPr>
        <w:t>采购</w:t>
      </w:r>
      <w:r>
        <w:rPr>
          <w:rFonts w:hint="eastAsia" w:ascii="方正小标宋简体" w:hAnsi="方正小标宋简体" w:eastAsia="方正小标宋简体" w:cs="方正小标宋简体"/>
          <w:b w:val="0"/>
          <w:kern w:val="2"/>
          <w:szCs w:val="44"/>
        </w:rPr>
        <w:t>调研公告</w:t>
      </w:r>
    </w:p>
    <w:p w14:paraId="163AA4BD">
      <w:pPr>
        <w:widowControl/>
        <w:shd w:val="clear" w:color="auto" w:fill="FFFFFF"/>
        <w:adjustRightInd w:val="0"/>
        <w:snapToGrid w:val="0"/>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77513BE0">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7B5F626">
            <w:pPr>
              <w:pStyle w:val="7"/>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3C1A09A">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3E8AF67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1CE1BBC">
            <w:pPr>
              <w:widowControl/>
              <w:spacing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E577788">
            <w:pPr>
              <w:widowControl/>
              <w:spacing w:line="360" w:lineRule="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医院短信推送服务项目</w:t>
            </w:r>
          </w:p>
        </w:tc>
      </w:tr>
      <w:tr w14:paraId="37658CE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0C5B06D">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B34FE41">
            <w:pPr>
              <w:spacing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highlight w:val="none"/>
              </w:rPr>
              <w:t>年</w:t>
            </w:r>
            <w:r>
              <w:rPr>
                <w:rFonts w:hint="eastAsia" w:ascii="仿宋_GB2312" w:hAnsi="仿宋_GB2312" w:eastAsia="仿宋_GB2312" w:cs="仿宋_GB2312"/>
                <w:color w:val="000000"/>
                <w:kern w:val="0"/>
                <w:sz w:val="32"/>
                <w:szCs w:val="32"/>
                <w:highlight w:val="none"/>
                <w:u w:val="single"/>
                <w:lang w:val="en-US" w:eastAsia="zh-CN"/>
              </w:rPr>
              <w:t>1</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23</w:t>
            </w:r>
            <w:r>
              <w:rPr>
                <w:rFonts w:hint="eastAsia" w:ascii="仿宋_GB2312" w:hAnsi="仿宋_GB2312" w:eastAsia="仿宋_GB2312" w:cs="仿宋_GB2312"/>
                <w:color w:val="000000"/>
                <w:kern w:val="0"/>
                <w:sz w:val="32"/>
                <w:szCs w:val="32"/>
                <w:highlight w:val="none"/>
              </w:rPr>
              <w:t xml:space="preserve">日至 </w:t>
            </w:r>
            <w:r>
              <w:rPr>
                <w:rFonts w:hint="eastAsia" w:ascii="仿宋_GB2312" w:hAnsi="仿宋_GB2312" w:eastAsia="仿宋_GB2312" w:cs="仿宋_GB2312"/>
                <w:color w:val="000000"/>
                <w:kern w:val="0"/>
                <w:sz w:val="32"/>
                <w:szCs w:val="32"/>
                <w:highlight w:val="none"/>
                <w:u w:val="single"/>
                <w:lang w:val="en-US" w:eastAsia="zh-CN"/>
              </w:rPr>
              <w:t>1</w:t>
            </w:r>
            <w:r>
              <w:rPr>
                <w:rFonts w:hint="eastAsia" w:ascii="仿宋_GB2312" w:hAnsi="仿宋_GB2312" w:eastAsia="仿宋_GB2312" w:cs="仿宋_GB2312"/>
                <w:color w:val="000000"/>
                <w:kern w:val="0"/>
                <w:sz w:val="32"/>
                <w:szCs w:val="32"/>
                <w:highlight w:val="none"/>
              </w:rPr>
              <w:t>月</w:t>
            </w:r>
            <w:r>
              <w:rPr>
                <w:rFonts w:hint="eastAsia" w:ascii="仿宋_GB2312" w:hAnsi="仿宋_GB2312" w:eastAsia="仿宋_GB2312" w:cs="仿宋_GB2312"/>
                <w:color w:val="000000"/>
                <w:kern w:val="0"/>
                <w:sz w:val="32"/>
                <w:szCs w:val="32"/>
                <w:highlight w:val="none"/>
                <w:u w:val="single"/>
                <w:lang w:val="en-US" w:eastAsia="zh-CN"/>
              </w:rPr>
              <w:t>29</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w:t>
            </w:r>
            <w:r>
              <w:rPr>
                <w:rFonts w:hint="eastAsia" w:ascii="仿宋_GB2312" w:hAnsi="仿宋_GB2312" w:eastAsia="仿宋_GB2312" w:cs="仿宋_GB2312"/>
                <w:color w:val="000000"/>
                <w:spacing w:val="-8"/>
                <w:kern w:val="0"/>
                <w:sz w:val="32"/>
                <w:szCs w:val="32"/>
                <w:shd w:val="clear" w:color="auto" w:fill="FFFFFF"/>
                <w:lang w:val="en-US" w:eastAsia="zh-CN"/>
              </w:rPr>
              <w:t>0</w:t>
            </w:r>
            <w:r>
              <w:rPr>
                <w:rFonts w:hint="eastAsia" w:ascii="仿宋_GB2312" w:hAnsi="仿宋_GB2312" w:eastAsia="仿宋_GB2312" w:cs="仿宋_GB2312"/>
                <w:color w:val="000000"/>
                <w:spacing w:val="-8"/>
                <w:kern w:val="0"/>
                <w:sz w:val="32"/>
                <w:szCs w:val="32"/>
                <w:shd w:val="clear" w:color="auto" w:fill="FFFFFF"/>
              </w:rPr>
              <w:t>0-17：</w:t>
            </w:r>
            <w:r>
              <w:rPr>
                <w:rFonts w:hint="eastAsia" w:ascii="仿宋_GB2312" w:hAnsi="仿宋_GB2312" w:eastAsia="仿宋_GB2312" w:cs="仿宋_GB2312"/>
                <w:color w:val="000000"/>
                <w:spacing w:val="-8"/>
                <w:kern w:val="0"/>
                <w:sz w:val="32"/>
                <w:szCs w:val="32"/>
                <w:shd w:val="clear" w:color="auto" w:fill="FFFFFF"/>
                <w:lang w:val="en-US" w:eastAsia="zh-CN"/>
              </w:rPr>
              <w:t>0</w:t>
            </w:r>
            <w:r>
              <w:rPr>
                <w:rFonts w:hint="eastAsia" w:ascii="仿宋_GB2312" w:hAnsi="仿宋_GB2312" w:eastAsia="仿宋_GB2312" w:cs="仿宋_GB2312"/>
                <w:color w:val="000000"/>
                <w:spacing w:val="-8"/>
                <w:kern w:val="0"/>
                <w:sz w:val="32"/>
                <w:szCs w:val="32"/>
                <w:shd w:val="clear" w:color="auto" w:fill="FFFFFF"/>
              </w:rPr>
              <w:t>0(北京时间）</w:t>
            </w:r>
          </w:p>
          <w:p w14:paraId="1930621E">
            <w:pPr>
              <w:widowControl/>
              <w:spacing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lang w:val="en-US" w:eastAsia="zh-CN"/>
              </w:rPr>
              <w:t>2</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highlight w:val="none"/>
                <w:u w:val="single"/>
                <w:lang w:val="en-US" w:eastAsia="zh-CN"/>
              </w:rPr>
              <w:t>4</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14:paraId="504DB04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80D751E">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516931B">
            <w:pPr>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投标文件正本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12F39755">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0CED743">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78F8AB9">
            <w:pPr>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投标文件递交处：福建省肿瘤医院网络技术中心</w:t>
            </w:r>
          </w:p>
        </w:tc>
      </w:tr>
      <w:tr w14:paraId="76711675">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09011B5">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75020BD">
            <w:pPr>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79C5B84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E87FBFF">
            <w:pPr>
              <w:widowControl/>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61F47C0">
            <w:pPr>
              <w:widowControl/>
              <w:shd w:val="clear" w:color="auto" w:fill="FFFFFF"/>
              <w:adjustRightInd w:val="0"/>
              <w:snapToGrid w:val="0"/>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2823D698">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rPr>
      </w:pPr>
    </w:p>
    <w:p w14:paraId="352C6654">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7BAA3C45">
      <w:pPr>
        <w:widowControl/>
        <w:shd w:val="clear" w:color="auto" w:fill="FFFFFF"/>
        <w:spacing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6111389B">
      <w:pPr>
        <w:widowControl/>
        <w:shd w:val="clear" w:color="auto" w:fill="FFFFFF"/>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2348E968">
      <w:pPr>
        <w:widowControl/>
        <w:shd w:val="clear" w:color="auto" w:fill="FFFFFF"/>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34F86AC5">
      <w:pPr>
        <w:widowControl/>
        <w:shd w:val="clear" w:color="auto" w:fill="FFFFFF"/>
        <w:spacing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张</w:t>
      </w:r>
      <w:r>
        <w:rPr>
          <w:rFonts w:hint="eastAsia" w:ascii="仿宋_GB2312" w:hAnsi="仿宋_GB2312" w:eastAsia="仿宋_GB2312" w:cs="仿宋_GB2312"/>
          <w:bCs/>
          <w:color w:val="000000"/>
          <w:kern w:val="0"/>
          <w:sz w:val="32"/>
          <w:szCs w:val="32"/>
          <w:shd w:val="clear" w:color="auto" w:fill="FFFFFF"/>
        </w:rPr>
        <w:t>工、郑工</w:t>
      </w:r>
    </w:p>
    <w:p w14:paraId="0CDCA289">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14:paraId="5D29DAE8">
      <w:pPr>
        <w:widowControl/>
        <w:shd w:val="clear" w:color="auto" w:fill="FFFFFF"/>
        <w:adjustRightInd w:val="0"/>
        <w:snapToGrid w:val="0"/>
        <w:spacing w:line="360" w:lineRule="auto"/>
        <w:ind w:firstLine="420"/>
        <w:jc w:val="center"/>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60975166">
      <w:pPr>
        <w:widowControl/>
        <w:shd w:val="clear" w:color="auto" w:fill="FFFFFF"/>
        <w:spacing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W w:w="104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43"/>
        <w:gridCol w:w="990"/>
        <w:gridCol w:w="2160"/>
        <w:gridCol w:w="1248"/>
        <w:gridCol w:w="2249"/>
        <w:gridCol w:w="1012"/>
      </w:tblGrid>
      <w:tr w14:paraId="3BEC0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743" w:type="dxa"/>
            <w:shd w:val="clear" w:color="FFFFFF" w:fill="auto"/>
            <w:vAlign w:val="center"/>
          </w:tcPr>
          <w:p w14:paraId="6BFD0411">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项 目 名 称</w:t>
            </w:r>
          </w:p>
        </w:tc>
        <w:tc>
          <w:tcPr>
            <w:tcW w:w="990" w:type="dxa"/>
            <w:shd w:val="clear" w:color="FFFFFF" w:fill="auto"/>
            <w:vAlign w:val="center"/>
          </w:tcPr>
          <w:p w14:paraId="03576422">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数量</w:t>
            </w:r>
          </w:p>
        </w:tc>
        <w:tc>
          <w:tcPr>
            <w:tcW w:w="2160" w:type="dxa"/>
            <w:shd w:val="clear" w:color="FFFFFF" w:fill="auto"/>
            <w:vAlign w:val="center"/>
          </w:tcPr>
          <w:p w14:paraId="7E063622">
            <w:pPr>
              <w:widowControl w:val="0"/>
              <w:wordWrap/>
              <w:adjustRightInd w:val="0"/>
              <w:snapToGrid w:val="0"/>
              <w:spacing w:line="240" w:lineRule="auto"/>
              <w:jc w:val="center"/>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主要技术规格</w:t>
            </w:r>
          </w:p>
        </w:tc>
        <w:tc>
          <w:tcPr>
            <w:tcW w:w="1248" w:type="dxa"/>
            <w:shd w:val="clear" w:color="FFFFFF" w:fill="auto"/>
            <w:vAlign w:val="center"/>
          </w:tcPr>
          <w:p w14:paraId="4C996C31">
            <w:pPr>
              <w:widowControl w:val="0"/>
              <w:wordWrap/>
              <w:adjustRightInd w:val="0"/>
              <w:snapToGrid w:val="0"/>
              <w:spacing w:line="240" w:lineRule="auto"/>
              <w:jc w:val="center"/>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服务期</w:t>
            </w:r>
          </w:p>
        </w:tc>
        <w:tc>
          <w:tcPr>
            <w:tcW w:w="2249" w:type="dxa"/>
            <w:shd w:val="clear" w:color="FFFFFF" w:fill="auto"/>
            <w:vAlign w:val="center"/>
          </w:tcPr>
          <w:p w14:paraId="2360D62B">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说明</w:t>
            </w:r>
          </w:p>
        </w:tc>
        <w:tc>
          <w:tcPr>
            <w:tcW w:w="1012" w:type="dxa"/>
            <w:shd w:val="clear" w:color="FFFFFF" w:fill="auto"/>
            <w:vAlign w:val="center"/>
          </w:tcPr>
          <w:p w14:paraId="0DB912F4">
            <w:pPr>
              <w:widowControl w:val="0"/>
              <w:wordWrap/>
              <w:adjustRightInd w:val="0"/>
              <w:snapToGrid w:val="0"/>
              <w:spacing w:line="240" w:lineRule="auto"/>
              <w:jc w:val="center"/>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预算</w:t>
            </w:r>
          </w:p>
        </w:tc>
      </w:tr>
      <w:tr w14:paraId="7C840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2743" w:type="dxa"/>
            <w:vAlign w:val="center"/>
          </w:tcPr>
          <w:p w14:paraId="23E00291">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医院短信推送服务</w:t>
            </w:r>
            <w:r>
              <w:rPr>
                <w:rFonts w:hint="default" w:ascii="仿宋_GB2312" w:hAnsi="仿宋_GB2312" w:eastAsia="仿宋_GB2312" w:cs="仿宋_GB2312"/>
                <w:color w:val="000000"/>
                <w:sz w:val="28"/>
                <w:szCs w:val="28"/>
                <w:highlight w:val="none"/>
                <w:lang w:val="en-US" w:eastAsia="zh-CN"/>
              </w:rPr>
              <w:t>采购项目</w:t>
            </w:r>
          </w:p>
        </w:tc>
        <w:tc>
          <w:tcPr>
            <w:tcW w:w="990" w:type="dxa"/>
            <w:vAlign w:val="center"/>
          </w:tcPr>
          <w:p w14:paraId="1E94C7B1">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1批</w:t>
            </w:r>
          </w:p>
        </w:tc>
        <w:tc>
          <w:tcPr>
            <w:tcW w:w="2160" w:type="dxa"/>
            <w:vAlign w:val="center"/>
          </w:tcPr>
          <w:p w14:paraId="56F62671">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不少于600万条</w:t>
            </w:r>
          </w:p>
          <w:p w14:paraId="14A516F8">
            <w:pPr>
              <w:widowControl w:val="0"/>
              <w:wordWrap/>
              <w:adjustRightInd w:val="0"/>
              <w:snapToGrid w:val="0"/>
              <w:spacing w:line="240" w:lineRule="auto"/>
              <w:jc w:val="center"/>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详见附件或招标内容及要求</w:t>
            </w:r>
          </w:p>
        </w:tc>
        <w:tc>
          <w:tcPr>
            <w:tcW w:w="1248" w:type="dxa"/>
            <w:vAlign w:val="center"/>
          </w:tcPr>
          <w:p w14:paraId="2D3F3237">
            <w:pPr>
              <w:widowControl w:val="0"/>
              <w:wordWrap/>
              <w:adjustRightInd w:val="0"/>
              <w:snapToGrid w:val="0"/>
              <w:spacing w:line="240" w:lineRule="auto"/>
              <w:jc w:val="center"/>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1年</w:t>
            </w:r>
          </w:p>
        </w:tc>
        <w:tc>
          <w:tcPr>
            <w:tcW w:w="2249" w:type="dxa"/>
            <w:vAlign w:val="center"/>
          </w:tcPr>
          <w:p w14:paraId="0FD53AB0">
            <w:pPr>
              <w:widowControl w:val="0"/>
              <w:wordWrap/>
              <w:adjustRightInd w:val="0"/>
              <w:snapToGrid w:val="0"/>
              <w:spacing w:line="240" w:lineRule="auto"/>
              <w:jc w:val="center"/>
              <w:textAlignment w:val="auto"/>
              <w:rPr>
                <w:rFonts w:hint="eastAsia" w:ascii="仿宋_GB2312" w:hAnsi="仿宋_GB2312" w:eastAsia="仿宋_GB2312" w:cs="仿宋_GB2312"/>
                <w:color w:val="000000"/>
                <w:sz w:val="28"/>
                <w:szCs w:val="28"/>
                <w:highlight w:val="none"/>
                <w:lang w:val="en-US" w:eastAsia="zh-CN"/>
              </w:rPr>
            </w:pPr>
            <w:r>
              <w:rPr>
                <w:rFonts w:hint="default" w:ascii="仿宋_GB2312" w:hAnsi="仿宋_GB2312" w:eastAsia="仿宋_GB2312" w:cs="仿宋_GB2312"/>
                <w:color w:val="000000"/>
                <w:sz w:val="28"/>
                <w:szCs w:val="28"/>
                <w:highlight w:val="none"/>
                <w:lang w:val="en-US" w:eastAsia="zh-CN"/>
              </w:rPr>
              <w:t>根据</w:t>
            </w:r>
            <w:r>
              <w:rPr>
                <w:rFonts w:hint="eastAsia" w:ascii="仿宋_GB2312" w:hAnsi="仿宋_GB2312" w:eastAsia="仿宋_GB2312" w:cs="仿宋_GB2312"/>
                <w:color w:val="000000"/>
                <w:sz w:val="28"/>
                <w:szCs w:val="28"/>
                <w:highlight w:val="none"/>
                <w:lang w:val="en-US" w:eastAsia="zh-CN"/>
              </w:rPr>
              <w:t>供应商</w:t>
            </w:r>
            <w:r>
              <w:rPr>
                <w:rFonts w:hint="default" w:ascii="仿宋_GB2312" w:hAnsi="仿宋_GB2312" w:eastAsia="仿宋_GB2312" w:cs="仿宋_GB2312"/>
                <w:color w:val="000000"/>
                <w:sz w:val="28"/>
                <w:szCs w:val="28"/>
                <w:highlight w:val="none"/>
                <w:lang w:val="en-US" w:eastAsia="zh-CN"/>
              </w:rPr>
              <w:t>提供的每季度实际用量明细单进行结算</w:t>
            </w:r>
          </w:p>
        </w:tc>
        <w:tc>
          <w:tcPr>
            <w:tcW w:w="1012" w:type="dxa"/>
            <w:vAlign w:val="center"/>
          </w:tcPr>
          <w:p w14:paraId="793D44BD">
            <w:pPr>
              <w:widowControl w:val="0"/>
              <w:wordWrap/>
              <w:adjustRightInd w:val="0"/>
              <w:snapToGrid w:val="0"/>
              <w:spacing w:line="240" w:lineRule="auto"/>
              <w:jc w:val="center"/>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30万</w:t>
            </w:r>
          </w:p>
        </w:tc>
      </w:tr>
      <w:tr w14:paraId="3DFDD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10402" w:type="dxa"/>
            <w:gridSpan w:val="6"/>
            <w:vAlign w:val="center"/>
          </w:tcPr>
          <w:p w14:paraId="53F1B4B7">
            <w:pPr>
              <w:widowControl w:val="0"/>
              <w:wordWrap/>
              <w:adjustRightInd w:val="0"/>
              <w:snapToGrid w:val="0"/>
              <w:spacing w:line="240" w:lineRule="auto"/>
              <w:jc w:val="both"/>
              <w:textAlignment w:val="auto"/>
              <w:rPr>
                <w:rFonts w:hint="eastAsia" w:ascii="仿宋_GB2312" w:hAnsi="仿宋_GB2312" w:eastAsia="仿宋_GB2312" w:cs="仿宋_GB2312"/>
                <w:color w:val="000000"/>
                <w:sz w:val="28"/>
                <w:szCs w:val="28"/>
                <w:highlight w:val="none"/>
                <w:lang w:val="en-US" w:eastAsia="zh-CN"/>
              </w:rPr>
            </w:pPr>
            <w:bookmarkStart w:id="1" w:name="_GoBack"/>
            <w:bookmarkEnd w:id="1"/>
            <w:r>
              <w:rPr>
                <w:rFonts w:hint="eastAsia" w:ascii="仿宋_GB2312" w:hAnsi="仿宋_GB2312" w:eastAsia="仿宋_GB2312" w:cs="仿宋_GB2312"/>
                <w:color w:val="000000"/>
                <w:sz w:val="28"/>
                <w:szCs w:val="28"/>
                <w:highlight w:val="none"/>
                <w:lang w:val="en-US" w:eastAsia="zh-CN"/>
              </w:rPr>
              <w:t>备注说明：报价含货物、运输、安装调试、验收、保险、税费等相关费用。</w:t>
            </w:r>
          </w:p>
        </w:tc>
      </w:tr>
    </w:tbl>
    <w:p w14:paraId="2C30C934"/>
    <w:p w14:paraId="4D8636A9">
      <w:pPr>
        <w:keepNext/>
        <w:widowControl/>
        <w:shd w:val="clear" w:color="auto" w:fill="FFFFFF"/>
        <w:autoSpaceDE w:val="0"/>
        <w:spacing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14:paraId="319F0A46">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t>1、合同包（一）</w:t>
      </w:r>
    </w:p>
    <w:p w14:paraId="169C7A14">
      <w:pPr>
        <w:wordWrap/>
        <w:adjustRightInd/>
        <w:snapToGrid/>
        <w:spacing w:before="0" w:after="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为提升医护工作人员工作效率、患者看病就医满意度，我院实施短信推送服务，主要推送相关预约短信（检查预约、床位预约、日间预约等）、检查报告、出院带药、危急值提醒、患者验证码等短信。不少于600万条短信数量（一年）。</w:t>
      </w:r>
    </w:p>
    <w:p w14:paraId="0058A5E9">
      <w:pPr>
        <w:pStyle w:val="7"/>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48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（一）技术要求</w:t>
      </w:r>
    </w:p>
    <w:p w14:paraId="12D4B538">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短信平台须采用本地化部署，通过内网方式实现对接。提供内网中短信提交及与各个业务系统短信接口对接服务；</w:t>
      </w:r>
    </w:p>
    <w:p w14:paraId="470E2F1C">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本地化部署的短信平台须综合提供短信接口、WEB发送及管理平台、短信发送网关、异常告警监控功能，提供web页面、webservice、db等接口调用等短信发送方式；</w:t>
      </w:r>
    </w:p>
    <w:p w14:paraId="3B262010">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WEB平台应具有短信发送及查询、通讯录管理、短信定时发送、报表统计、上行短信查询、发送失败短信查询、权限管理、敏感词过滤、黑名单等功能。</w:t>
      </w:r>
      <w:r>
        <w:rPr>
          <w:rFonts w:hint="eastAsia" w:ascii="仿宋_GB2312" w:hAnsi="仿宋_GB2312" w:eastAsia="仿宋_GB2312" w:cs="仿宋_GB2312"/>
          <w:sz w:val="30"/>
          <w:szCs w:val="30"/>
          <w:lang w:eastAsia="zh-CN"/>
        </w:rPr>
        <w:t>平台通信录管理：可进行黑名单管理，重号去重，权限管理，计费管理及非法过滤。管理员账号可设置和管理个性化短信内容和收件人通讯录，手动进行短信发送</w:t>
      </w:r>
      <w:r>
        <w:rPr>
          <w:rFonts w:hint="eastAsia" w:ascii="仿宋_GB2312" w:hAnsi="仿宋_GB2312" w:eastAsia="仿宋_GB2312" w:cs="仿宋_GB2312"/>
          <w:i w:val="0"/>
          <w:caps w:val="0"/>
          <w:color w:val="333333"/>
          <w:spacing w:val="0"/>
          <w:sz w:val="30"/>
          <w:szCs w:val="30"/>
        </w:rPr>
        <w:t>；</w:t>
      </w:r>
    </w:p>
    <w:p w14:paraId="74EAD6EF">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支持多种接口标准，包括CMPP、SGIP、SMGP，提供按需定制的HTTP以及HTTPS接口协议；</w:t>
      </w:r>
    </w:p>
    <w:p w14:paraId="5FBB1587">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能提供消费明细以及对账清单。对账结算数量依据采购人收到回写成功数量和平台统计发送量，两者应保持一致，当出现不一致情况时，以两者孰低为准；</w:t>
      </w:r>
    </w:p>
    <w:p w14:paraId="7AA85C87">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报表统计：自动生成短信日报、周报、月报。须支持按子帐号，按部门机构进行生成；</w:t>
      </w:r>
    </w:p>
    <w:p w14:paraId="5F1FA702">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平台可开设不同权限的子账户，且单独计费；</w:t>
      </w:r>
    </w:p>
    <w:p w14:paraId="1236719D">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上行短信：上行短信需与下行短信有正确的对应关系，可在WEB页面查询对应关系； </w:t>
      </w:r>
    </w:p>
    <w:p w14:paraId="025FB2D9">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在排除运营商故障、客户停机、黑名单、工信部规定的敏感字眼等因素以外，短信成功率需达到99.9</w:t>
      </w:r>
      <w:r>
        <w:rPr>
          <w:rFonts w:hint="eastAsia" w:ascii="仿宋_GB2312" w:hAnsi="仿宋_GB2312" w:eastAsia="仿宋_GB2312" w:cs="仿宋_GB2312"/>
          <w:i w:val="0"/>
          <w:caps w:val="0"/>
          <w:color w:val="333333"/>
          <w:spacing w:val="0"/>
          <w:sz w:val="30"/>
          <w:szCs w:val="30"/>
          <w:lang w:val="en-US" w:eastAsia="zh-CN"/>
        </w:rPr>
        <w:t>5</w:t>
      </w:r>
      <w:r>
        <w:rPr>
          <w:rFonts w:hint="eastAsia" w:ascii="仿宋_GB2312" w:hAnsi="仿宋_GB2312" w:eastAsia="仿宋_GB2312" w:cs="仿宋_GB2312"/>
          <w:i w:val="0"/>
          <w:caps w:val="0"/>
          <w:color w:val="333333"/>
          <w:spacing w:val="0"/>
          <w:sz w:val="30"/>
          <w:szCs w:val="30"/>
        </w:rPr>
        <w:t>%以上； </w:t>
      </w:r>
    </w:p>
    <w:p w14:paraId="19398B98">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短信网关提交短信后，排除运营商故障的情况下，短信应该30秒时间内送达； </w:t>
      </w:r>
    </w:p>
    <w:p w14:paraId="4088CF45">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供应商提供短信网关中断告警机制，即短信网关完全宕机（发不出短信）时，有短信（从其他渠道发送）、邮件或者其他形式的通知发送至双方运维人员； </w:t>
      </w:r>
    </w:p>
    <w:p w14:paraId="6B344EFD">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搭建院内短信平台且可与运营商短信平台无缝对接；</w:t>
      </w:r>
    </w:p>
    <w:p w14:paraId="79E657B1">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i w:val="0"/>
          <w:caps w:val="0"/>
          <w:color w:val="333333"/>
          <w:spacing w:val="0"/>
          <w:sz w:val="30"/>
          <w:szCs w:val="30"/>
        </w:rPr>
        <w:t>短信头部我院企业签名部分支持自定义，并可依我院要求随时进行修改；</w:t>
      </w:r>
    </w:p>
    <w:p w14:paraId="2248C498">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.实时状态报告返回：支持状态返回报告，实时接收状态报告，可按短信发送失败返回状态进行自动重发或作废</w:t>
      </w:r>
      <w:r>
        <w:rPr>
          <w:rFonts w:hint="eastAsia" w:ascii="仿宋_GB2312" w:hAnsi="仿宋_GB2312" w:eastAsia="仿宋_GB2312" w:cs="仿宋_GB2312"/>
          <w:i w:val="0"/>
          <w:caps w:val="0"/>
          <w:color w:val="333333"/>
          <w:spacing w:val="0"/>
          <w:sz w:val="30"/>
          <w:szCs w:val="30"/>
        </w:rPr>
        <w:t>；</w:t>
      </w:r>
    </w:p>
    <w:p w14:paraId="30C03C49">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支持长短信：平台支持不少于1000字的长短信，且在手机端作为一条完整短信显示。平台处理速度：千万级处理能力</w:t>
      </w:r>
      <w:r>
        <w:rPr>
          <w:rFonts w:hint="eastAsia" w:ascii="仿宋_GB2312" w:hAnsi="仿宋_GB2312" w:eastAsia="仿宋_GB2312" w:cs="仿宋_GB2312"/>
          <w:i w:val="0"/>
          <w:caps w:val="0"/>
          <w:color w:val="333333"/>
          <w:spacing w:val="0"/>
          <w:sz w:val="30"/>
          <w:szCs w:val="30"/>
        </w:rPr>
        <w:t>；</w:t>
      </w:r>
      <w:r>
        <w:rPr>
          <w:rFonts w:hint="eastAsia" w:ascii="仿宋_GB2312" w:hAnsi="仿宋_GB2312" w:eastAsia="仿宋_GB2312" w:cs="仿宋_GB2312"/>
          <w:sz w:val="30"/>
          <w:szCs w:val="30"/>
          <w:lang w:eastAsia="zh-CN"/>
        </w:rPr>
        <w:t xml:space="preserve"> </w:t>
      </w:r>
    </w:p>
    <w:p w14:paraId="0E87B210">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智能优先级：平台通过汉字自动识别分字技术，通过模式配备使得单条类型短信先发送，批量类型短信后发送，从而达到智能处理的目的；</w:t>
      </w:r>
    </w:p>
    <w:p w14:paraId="4AF45FE5">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通道发送速度：支持在不同移动运营商多个地区多条接入；</w:t>
      </w:r>
    </w:p>
    <w:p w14:paraId="7603F63C">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智能路由：可按照不同的账号、签名、模板、地域等做短信智能路由选择发送通道合理配比发送比例；</w:t>
      </w:r>
    </w:p>
    <w:p w14:paraId="7BC92AF0">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信息处理机制：信息缓存机制，确保高峰期大规模信息提交不丢失；支持优先级发送机制；</w:t>
      </w:r>
    </w:p>
    <w:p w14:paraId="717F4985">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多通道发送：支持多个通道同时作业模式，包括中国移动、中国联通、中国电信三大运营商的多条优质通道，并增加负载均衡机制，大大提高了短信效率；</w:t>
      </w:r>
    </w:p>
    <w:p w14:paraId="482BD7C1">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通道监控与切换：确保在某地运营商某个网关出现问题时平台能根据事先约定的策略自动或手动切换到另外的备用通道（分钟级），确保发送及时性，通道安全性。</w:t>
      </w:r>
    </w:p>
    <w:p w14:paraId="2C40BDAC">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发送效率：5000条/秒以上；</w:t>
      </w:r>
    </w:p>
    <w:p w14:paraId="1EF18CC3">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业务高峰期短信通道发送效率：4000条/秒以上；</w:t>
      </w:r>
    </w:p>
    <w:p w14:paraId="2E18E4BB">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短信到达时间：＜3秒/条；</w:t>
      </w:r>
    </w:p>
    <w:p w14:paraId="5688BF71">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日发送量设计：5亿条；平台接口处理速度：＞80000条/秒；</w:t>
      </w:r>
    </w:p>
    <w:p w14:paraId="6A6B9081">
      <w:pPr>
        <w:pStyle w:val="7"/>
        <w:widowControl/>
        <w:numPr>
          <w:ilvl w:val="0"/>
          <w:numId w:val="1"/>
        </w:numPr>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平台支持2500个用户同时使用。</w:t>
      </w:r>
    </w:p>
    <w:p w14:paraId="40313445">
      <w:pPr>
        <w:pStyle w:val="7"/>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48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（二）服务要求</w:t>
      </w:r>
    </w:p>
    <w:p w14:paraId="6E328110">
      <w:pPr>
        <w:pStyle w:val="7"/>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480"/>
        <w:jc w:val="both"/>
        <w:textAlignment w:val="auto"/>
        <w:outlineLvl w:val="9"/>
        <w:rPr>
          <w:rFonts w:hint="eastAsia" w:ascii="仿宋_GB2312" w:hAnsi="仿宋_GB2312" w:eastAsia="仿宋_GB2312" w:cs="仿宋_GB2312"/>
          <w:i w:val="0"/>
          <w:caps w:val="0"/>
          <w:color w:val="333333"/>
          <w:spacing w:val="0"/>
          <w:sz w:val="30"/>
          <w:szCs w:val="30"/>
        </w:rPr>
      </w:pPr>
      <w:r>
        <w:rPr>
          <w:rFonts w:hint="eastAsia" w:ascii="仿宋_GB2312" w:hAnsi="仿宋_GB2312" w:eastAsia="仿宋_GB2312" w:cs="仿宋_GB2312"/>
          <w:i w:val="0"/>
          <w:caps w:val="0"/>
          <w:color w:val="333333"/>
          <w:spacing w:val="0"/>
          <w:sz w:val="30"/>
          <w:szCs w:val="30"/>
        </w:rPr>
        <w:t>1、能实现与现有相关业务系统（门诊预约平台、院内信息系统、掌上医院平台、微信认证通道）的对接；投标人所报价格应包含系统接口费用，采购人不另行支付费用；</w:t>
      </w:r>
    </w:p>
    <w:p w14:paraId="7D87A134">
      <w:pPr>
        <w:pStyle w:val="7"/>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590" w:lineRule="exact"/>
        <w:ind w:left="0" w:leftChars="0" w:right="0" w:firstLine="480"/>
        <w:jc w:val="both"/>
        <w:textAlignment w:val="auto"/>
        <w:outlineLvl w:val="9"/>
        <w:rPr>
          <w:rFonts w:hint="eastAsia" w:ascii="仿宋_GB2312" w:hAnsi="仿宋_GB2312" w:cs="仿宋_GB2312"/>
          <w:sz w:val="32"/>
          <w:szCs w:val="32"/>
        </w:rPr>
      </w:pPr>
      <w:r>
        <w:rPr>
          <w:rFonts w:hint="eastAsia" w:ascii="仿宋_GB2312" w:hAnsi="仿宋_GB2312" w:eastAsia="仿宋_GB2312" w:cs="仿宋_GB2312"/>
          <w:i w:val="0"/>
          <w:caps w:val="0"/>
          <w:color w:val="333333"/>
          <w:spacing w:val="0"/>
          <w:sz w:val="30"/>
          <w:szCs w:val="30"/>
        </w:rPr>
        <w:t>2、提供7*24小时技术支持，及时响应相关问题。</w:t>
      </w:r>
    </w:p>
    <w:p w14:paraId="306B4C37">
      <w:pPr>
        <w:numPr>
          <w:ilvl w:val="0"/>
          <w:numId w:val="2"/>
        </w:numPr>
        <w:wordWrap/>
        <w:spacing w:before="0" w:after="0" w:line="360" w:lineRule="auto"/>
        <w:ind w:left="0" w:leftChars="0" w:right="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其他要求</w:t>
      </w:r>
    </w:p>
    <w:p w14:paraId="44D14C0C">
      <w:pPr>
        <w:numPr>
          <w:ilvl w:val="0"/>
          <w:numId w:val="0"/>
        </w:numPr>
        <w:wordWrap/>
        <w:spacing w:before="0" w:after="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1、本项目系统须同时覆盖我院滨海院区，功能与技术要求与本部院区一致。应结合我院实际医疗及管理需要，对系统进行客户化修改，包括但不限于结合医院实际管理需求。</w:t>
      </w:r>
    </w:p>
    <w:p w14:paraId="28ECE60D">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由于本项目系统需符合国产化要求，不得使用主管部门禁止使用的操作系统及数据库，必须配备正版的国产化操作系统、数据库、中间件及前端国产化工作站。同时本项目验收前按政策或是按院方需要提供有资质的第三方公司开展的密码应用安全性测评、信息技术应用创新符合性测试，并提供相关的证明。暂时未能实现的，后续政策要求时不再另行收费，并在投标文件中出具承诺函。</w:t>
      </w:r>
    </w:p>
    <w:p w14:paraId="26E9DBEF">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3、本项目系统需符合《信息安全技术网络安全等级保护基本要求》GB/T22239-2019（三级）要求（简称：三级等保2.0）及密码应用安全性评估，并在以上评审中协助完成本系统评审工作。</w:t>
      </w:r>
    </w:p>
    <w:p w14:paraId="38F61E8D">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2F498CFA">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5、本项目系统应提供与医院HIS，电子病历、危急值平台、报告平台、麻醉耗材、患者360（含HIS360、CDR360）等系统无缝集成接口，符合电子病历6级、医院的互联互通5级、智慧医院4级的建设要求。</w:t>
      </w:r>
    </w:p>
    <w:p w14:paraId="07026107">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6、本项目为交钥匙工程，本项目系统与各业务系统及设备的数据接口由中标人自行负责。本项目涉及院内现有各业务系统接口的，采购人不再向中标人支付接口费用。</w:t>
      </w:r>
    </w:p>
    <w:p w14:paraId="335D0DB7">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7537046D">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8、根据国家《医院信息系统功能规范》第十二条以及国家信息化建设审计要求，必须提供完整的总体设计报告、需求分析说明书、上线测试报告、操作使用手册、系统维护手册等。</w:t>
      </w:r>
    </w:p>
    <w:p w14:paraId="7D2EED8C">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50DC4D12">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253CCA3E">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11、与医院现有CA数字签名功能实现对接，满足医院各法规需要。</w:t>
      </w:r>
    </w:p>
    <w:p w14:paraId="02E10720">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12、本项目系统若需接入医院APP(实现院外移动端查询)，则中标人应提供H5接口，并支付相应接口费用（不超过3万元），是否需接入医院APP以项目验收时采购人需求为准。</w:t>
      </w:r>
    </w:p>
    <w:p w14:paraId="6F19C628">
      <w:pPr>
        <w:pStyle w:val="14"/>
        <w:numPr>
          <w:ilvl w:val="0"/>
          <w:numId w:val="0"/>
        </w:numPr>
        <w:wordWrap/>
        <w:spacing w:before="0" w:beforeAutospacing="0" w:after="0" w:afterAutospacing="0" w:line="360" w:lineRule="auto"/>
        <w:ind w:right="0" w:rightChars="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bookmarkStart w:id="0" w:name="OLE_LINK1"/>
      <w:r>
        <w:rPr>
          <w:rFonts w:hint="eastAsia" w:ascii="仿宋_GB2312" w:hAnsi="仿宋_GB2312" w:eastAsia="仿宋_GB2312" w:cs="仿宋_GB2312"/>
          <w:color w:val="auto"/>
          <w:sz w:val="32"/>
          <w:szCs w:val="32"/>
          <w:lang w:val="en-US" w:eastAsia="zh-CN"/>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bookmarkEnd w:id="0"/>
    </w:p>
    <w:p w14:paraId="3B43731A">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14、本项目软件部分按总价进行报价，不能以安装工作站数量进行报价。</w:t>
      </w:r>
    </w:p>
    <w:p w14:paraId="15222058">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15、本项目需完成旧系统中的历史数据导入，旧系统中非自动产生的数据（如手工输入值等），在新系统中可不体现或以默认值体现。若有涉及接口费用，由中标方负责，采购人不再向中标人支付接口费用。</w:t>
      </w:r>
    </w:p>
    <w:p w14:paraId="3B45D54B">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16、本项目软件版面色彩、风格等应按医院要求设计制作；软件标题只能出现医院logo及系统名称，不能出现公司名称，公司名称允许在帮助（help）的关于（about）中出现。具体版面另行通知。</w:t>
      </w:r>
    </w:p>
    <w:p w14:paraId="5C6FC72D">
      <w:pPr>
        <w:pStyle w:val="14"/>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17、本项目系统安装调试并经验收合格后，应对采购方的相关人员提供关于系统应用时技术和操作方面的培训。相关培训费用应包含在投标总价中。</w:t>
      </w:r>
    </w:p>
    <w:p w14:paraId="37045A50">
      <w:pPr>
        <w:pStyle w:val="13"/>
        <w:numPr>
          <w:ilvl w:val="0"/>
          <w:numId w:val="2"/>
        </w:numPr>
        <w:spacing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14:paraId="0B2C6906">
      <w:pPr>
        <w:shd w:val="solid" w:color="FFFFFF" w:fill="auto"/>
        <w:autoSpaceDN w:val="0"/>
        <w:spacing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0E6D4E86">
      <w:pPr>
        <w:widowControl/>
        <w:numPr>
          <w:ilvl w:val="0"/>
          <w:numId w:val="3"/>
        </w:numPr>
        <w:spacing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报名时请携带加盖公章的项目文件回执单、营业执照复印件、公司简介（可含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提供设备彩页等）</w:t>
      </w:r>
      <w:r>
        <w:rPr>
          <w:rFonts w:hint="eastAsia" w:ascii="仿宋_GB2312" w:hAnsi="仿宋_GB2312" w:eastAsia="仿宋_GB2312" w:cs="仿宋_GB2312"/>
          <w:color w:val="000000"/>
          <w:kern w:val="0"/>
          <w:sz w:val="36"/>
          <w:szCs w:val="36"/>
        </w:rPr>
        <w:t>。</w:t>
      </w:r>
    </w:p>
    <w:p w14:paraId="62C3964E">
      <w:pPr>
        <w:pStyle w:val="13"/>
        <w:spacing w:line="360" w:lineRule="auto"/>
      </w:pPr>
    </w:p>
    <w:p w14:paraId="3B4883CB">
      <w:pPr>
        <w:widowControl/>
        <w:shd w:val="clear" w:color="auto" w:fill="FFFFFF"/>
        <w:spacing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7485928E">
      <w:pPr>
        <w:widowControl/>
        <w:shd w:val="clear" w:color="auto" w:fill="FFFFFF"/>
        <w:spacing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14:paraId="44E4C901">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14:paraId="0FD5DCFA">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14:paraId="7E486CE3">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14:paraId="0002E90B">
      <w:pPr>
        <w:pStyle w:val="13"/>
        <w:spacing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14:paraId="1873E395">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14:paraId="509FE9E8">
      <w:pPr>
        <w:shd w:val="solid" w:color="FFFFFF" w:fill="auto"/>
        <w:autoSpaceDN w:val="0"/>
        <w:spacing w:line="360" w:lineRule="auto"/>
        <w:jc w:val="center"/>
        <w:rPr>
          <w:rFonts w:hint="eastAsia" w:ascii="仿宋_GB2312" w:hAnsi="仿宋_GB2312" w:eastAsia="仿宋_GB2312" w:cs="仿宋_GB2312"/>
          <w:b/>
          <w:color w:val="000000"/>
          <w:sz w:val="32"/>
          <w:szCs w:val="32"/>
          <w:shd w:val="clear" w:color="auto" w:fill="FFFFFF"/>
        </w:rPr>
      </w:pPr>
    </w:p>
    <w:p w14:paraId="7CE7B554">
      <w:pPr>
        <w:shd w:val="solid" w:color="FFFFFF" w:fill="auto"/>
        <w:autoSpaceDN w:val="0"/>
        <w:spacing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393BB4E8">
      <w:pPr>
        <w:shd w:val="solid" w:color="FFFFFF" w:fill="auto"/>
        <w:autoSpaceDN w:val="0"/>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428293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8A38ACC">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533335F">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9A3BCC3">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51D6050">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0D9D0C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5B384762">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7DA7412">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E2CFE26">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16AF9F">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p>
        </w:tc>
      </w:tr>
      <w:tr w14:paraId="73A49BE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12F5D13">
            <w:pPr>
              <w:shd w:val="solid" w:color="FFFFFF" w:fill="auto"/>
              <w:autoSpaceDN w:val="0"/>
              <w:spacing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7D47825">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C9C7DD3">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F7E58D0">
            <w:pPr>
              <w:shd w:val="solid" w:color="FFFFFF" w:fill="auto"/>
              <w:autoSpaceDN w:val="0"/>
              <w:spacing w:line="360" w:lineRule="auto"/>
              <w:rPr>
                <w:rFonts w:hint="eastAsia" w:ascii="仿宋_GB2312" w:hAnsi="仿宋_GB2312" w:eastAsia="仿宋_GB2312" w:cs="仿宋_GB2312"/>
                <w:bCs/>
                <w:sz w:val="28"/>
                <w:szCs w:val="28"/>
                <w:shd w:val="clear" w:color="auto" w:fill="FFFFFF"/>
              </w:rPr>
            </w:pPr>
          </w:p>
        </w:tc>
      </w:tr>
    </w:tbl>
    <w:p w14:paraId="4D1E95B5">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p>
    <w:p w14:paraId="0A997AA0">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p>
    <w:p w14:paraId="595D6CE7">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3346D75A">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21A7D613">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09047087">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3B347B19">
      <w:pPr>
        <w:shd w:val="solid" w:color="FFFFFF" w:fill="auto"/>
        <w:autoSpaceDN w:val="0"/>
        <w:spacing w:line="360" w:lineRule="auto"/>
        <w:rPr>
          <w:rFonts w:hint="eastAsia" w:ascii="仿宋_GB2312" w:hAnsi="仿宋_GB2312" w:eastAsia="仿宋_GB2312" w:cs="仿宋_GB2312"/>
          <w:bCs/>
          <w:sz w:val="32"/>
          <w:szCs w:val="32"/>
          <w:shd w:val="clear" w:color="auto" w:fill="FFFFFF"/>
        </w:rPr>
      </w:pPr>
    </w:p>
    <w:p w14:paraId="24BFA3C2">
      <w:pPr>
        <w:pStyle w:val="13"/>
        <w:spacing w:line="360" w:lineRule="auto"/>
        <w:rPr>
          <w:rFonts w:hint="eastAsia" w:ascii="仿宋_GB2312" w:hAnsi="仿宋_GB2312" w:cs="仿宋_GB2312"/>
          <w:bCs/>
          <w:sz w:val="32"/>
          <w:szCs w:val="32"/>
          <w:shd w:val="clear" w:color="auto" w:fill="FFFFFF"/>
        </w:rPr>
      </w:pPr>
    </w:p>
    <w:p w14:paraId="15294752">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14:paraId="7DBAE96E">
      <w:pPr>
        <w:pStyle w:val="13"/>
        <w:spacing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p w14:paraId="1858DC60"/>
    <w:sectPr>
      <w:footerReference r:id="rId3" w:type="default"/>
      <w:pgSz w:w="12240" w:h="15840"/>
      <w:pgMar w:top="1417" w:right="1587" w:bottom="1417"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2D1A3">
    <w:pPr>
      <w:pStyle w:val="5"/>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558F494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558F494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abstractNum w:abstractNumId="1">
    <w:nsid w:val="67B4397F"/>
    <w:multiLevelType w:val="singleLevel"/>
    <w:tmpl w:val="67B4397F"/>
    <w:lvl w:ilvl="0" w:tentative="0">
      <w:start w:val="1"/>
      <w:numFmt w:val="decimal"/>
      <w:suff w:val="nothing"/>
      <w:lvlText w:val="%1、"/>
      <w:lvlJc w:val="left"/>
    </w:lvl>
  </w:abstractNum>
  <w:abstractNum w:abstractNumId="2">
    <w:nsid w:val="67B83D0D"/>
    <w:multiLevelType w:val="singleLevel"/>
    <w:tmpl w:val="67B83D0D"/>
    <w:lvl w:ilvl="0" w:tentative="0">
      <w:start w:val="1"/>
      <w:numFmt w:val="decimal"/>
      <w:suff w:val="nothing"/>
      <w:lvlText w:val="%1．"/>
      <w:lvlJc w:val="left"/>
      <w:pPr>
        <w:ind w:left="0" w:leftChars="0" w:firstLine="400" w:firstLineChars="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RlNzZiNjE1N2NiNDY1MjdjNTllOWUxMWU4Y2ZiZGQifQ=="/>
  </w:docVars>
  <w:rsids>
    <w:rsidRoot w:val="003E746A"/>
    <w:rsid w:val="0000160D"/>
    <w:rsid w:val="0003757E"/>
    <w:rsid w:val="000A0761"/>
    <w:rsid w:val="002A0C62"/>
    <w:rsid w:val="003B2130"/>
    <w:rsid w:val="003E746A"/>
    <w:rsid w:val="00441F37"/>
    <w:rsid w:val="005843F6"/>
    <w:rsid w:val="005B603B"/>
    <w:rsid w:val="005E1C5A"/>
    <w:rsid w:val="00677CA2"/>
    <w:rsid w:val="00724121"/>
    <w:rsid w:val="00775394"/>
    <w:rsid w:val="007F17B5"/>
    <w:rsid w:val="00805947"/>
    <w:rsid w:val="0082491A"/>
    <w:rsid w:val="00830945"/>
    <w:rsid w:val="008368CF"/>
    <w:rsid w:val="008D777B"/>
    <w:rsid w:val="008F6746"/>
    <w:rsid w:val="009278D1"/>
    <w:rsid w:val="00950902"/>
    <w:rsid w:val="009C3229"/>
    <w:rsid w:val="00B662ED"/>
    <w:rsid w:val="00B7053D"/>
    <w:rsid w:val="00C278CC"/>
    <w:rsid w:val="00C771A8"/>
    <w:rsid w:val="00CE4782"/>
    <w:rsid w:val="00CF05B5"/>
    <w:rsid w:val="00D2760A"/>
    <w:rsid w:val="00E41ADB"/>
    <w:rsid w:val="00E852DA"/>
    <w:rsid w:val="00FF177E"/>
    <w:rsid w:val="031B55B3"/>
    <w:rsid w:val="07103EF7"/>
    <w:rsid w:val="0D954BE8"/>
    <w:rsid w:val="0E597E90"/>
    <w:rsid w:val="0E782A66"/>
    <w:rsid w:val="10A02159"/>
    <w:rsid w:val="1235476B"/>
    <w:rsid w:val="13C42198"/>
    <w:rsid w:val="14AE30D9"/>
    <w:rsid w:val="15C3312C"/>
    <w:rsid w:val="1E95634A"/>
    <w:rsid w:val="1F5C7718"/>
    <w:rsid w:val="203938D2"/>
    <w:rsid w:val="20493DE7"/>
    <w:rsid w:val="23FF3B57"/>
    <w:rsid w:val="24552351"/>
    <w:rsid w:val="2A085E7C"/>
    <w:rsid w:val="2D08798C"/>
    <w:rsid w:val="2DC15E45"/>
    <w:rsid w:val="2FD51B22"/>
    <w:rsid w:val="31C8341C"/>
    <w:rsid w:val="3A394FD8"/>
    <w:rsid w:val="483B0E27"/>
    <w:rsid w:val="493778DE"/>
    <w:rsid w:val="4CEC5FF2"/>
    <w:rsid w:val="4CF5B425"/>
    <w:rsid w:val="501954ED"/>
    <w:rsid w:val="54653A5E"/>
    <w:rsid w:val="56650E2A"/>
    <w:rsid w:val="5C0678E3"/>
    <w:rsid w:val="65E75217"/>
    <w:rsid w:val="69E03F15"/>
    <w:rsid w:val="6ADFB210"/>
    <w:rsid w:val="6C8F7517"/>
    <w:rsid w:val="735428B1"/>
    <w:rsid w:val="75E50979"/>
    <w:rsid w:val="76B81187"/>
    <w:rsid w:val="76BF5FEE"/>
    <w:rsid w:val="787E7C64"/>
    <w:rsid w:val="7B6E21D2"/>
    <w:rsid w:val="7BFBA317"/>
    <w:rsid w:val="7BFE0E71"/>
    <w:rsid w:val="7D7F7A0B"/>
    <w:rsid w:val="7E7D3992"/>
    <w:rsid w:val="9FBDC09D"/>
    <w:rsid w:val="AC6FCE0C"/>
    <w:rsid w:val="BFE0F947"/>
    <w:rsid w:val="CBFDA174"/>
    <w:rsid w:val="EFFFF7F1"/>
    <w:rsid w:val="F73FA6E0"/>
    <w:rsid w:val="FEEFF000"/>
    <w:rsid w:val="FF4D4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ody Text"/>
    <w:basedOn w:val="1"/>
    <w:unhideWhenUsed/>
    <w:qFormat/>
    <w:uiPriority w:val="99"/>
    <w:rPr>
      <w:rFonts w:ascii="仿宋_GB2312"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line="336" w:lineRule="auto"/>
      <w:jc w:val="left"/>
    </w:pPr>
    <w:rPr>
      <w:rFonts w:ascii="宋体" w:hAnsi="宋体"/>
      <w:kern w:val="0"/>
      <w:sz w:val="24"/>
    </w:rPr>
  </w:style>
  <w:style w:type="paragraph" w:styleId="8">
    <w:name w:val="annotation subject"/>
    <w:basedOn w:val="3"/>
    <w:next w:val="3"/>
    <w:link w:val="20"/>
    <w:qFormat/>
    <w:uiPriority w:val="0"/>
    <w:rPr>
      <w:b/>
      <w:bCs/>
    </w:rPr>
  </w:style>
  <w:style w:type="table" w:styleId="10">
    <w:name w:val="Table Grid"/>
    <w:basedOn w:val="9"/>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paragraph" w:customStyle="1" w:styleId="13">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页眉 字符"/>
    <w:basedOn w:val="11"/>
    <w:link w:val="6"/>
    <w:qFormat/>
    <w:uiPriority w:val="0"/>
    <w:rPr>
      <w:rFonts w:ascii="Calibri" w:hAnsi="Calibri" w:eastAsia="宋体" w:cs="黑体"/>
      <w:kern w:val="2"/>
      <w:sz w:val="18"/>
      <w:szCs w:val="18"/>
    </w:rPr>
  </w:style>
  <w:style w:type="paragraph" w:customStyle="1" w:styleId="16">
    <w:name w:val="修订1"/>
    <w:hidden/>
    <w:unhideWhenUsed/>
    <w:qFormat/>
    <w:uiPriority w:val="99"/>
    <w:rPr>
      <w:rFonts w:ascii="Calibri" w:hAnsi="Calibri" w:eastAsia="宋体" w:cs="黑体"/>
      <w:kern w:val="2"/>
      <w:sz w:val="21"/>
      <w:szCs w:val="24"/>
      <w:lang w:val="en-US" w:eastAsia="zh-CN" w:bidi="ar-SA"/>
    </w:rPr>
  </w:style>
  <w:style w:type="character" w:customStyle="1" w:styleId="17">
    <w:name w:val="列表段落 字符"/>
    <w:link w:val="18"/>
    <w:qFormat/>
    <w:uiPriority w:val="34"/>
    <w:rPr>
      <w:kern w:val="2"/>
      <w:sz w:val="21"/>
      <w:szCs w:val="24"/>
    </w:rPr>
  </w:style>
  <w:style w:type="paragraph" w:styleId="18">
    <w:name w:val="List Paragraph"/>
    <w:basedOn w:val="1"/>
    <w:link w:val="17"/>
    <w:qFormat/>
    <w:uiPriority w:val="34"/>
    <w:pPr>
      <w:ind w:firstLine="420" w:firstLineChars="200"/>
    </w:pPr>
    <w:rPr>
      <w:rFonts w:asciiTheme="minorHAnsi" w:hAnsiTheme="minorHAnsi" w:eastAsiaTheme="minorEastAsia" w:cstheme="minorBidi"/>
    </w:rPr>
  </w:style>
  <w:style w:type="character" w:customStyle="1" w:styleId="19">
    <w:name w:val="批注文字 字符"/>
    <w:basedOn w:val="11"/>
    <w:link w:val="3"/>
    <w:qFormat/>
    <w:uiPriority w:val="0"/>
    <w:rPr>
      <w:rFonts w:ascii="Calibri" w:hAnsi="Calibri" w:eastAsia="宋体" w:cs="黑体"/>
      <w:kern w:val="2"/>
      <w:sz w:val="21"/>
      <w:szCs w:val="24"/>
    </w:rPr>
  </w:style>
  <w:style w:type="character" w:customStyle="1" w:styleId="20">
    <w:name w:val="批注主题 字符"/>
    <w:basedOn w:val="19"/>
    <w:link w:val="8"/>
    <w:qFormat/>
    <w:uiPriority w:val="0"/>
    <w:rPr>
      <w:rFonts w:ascii="Calibri" w:hAnsi="Calibri" w:eastAsia="宋体" w:cs="黑体"/>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566</Words>
  <Characters>641</Characters>
  <Lines>21</Lines>
  <Paragraphs>5</Paragraphs>
  <TotalTime>0</TotalTime>
  <ScaleCrop>false</ScaleCrop>
  <LinksUpToDate>false</LinksUpToDate>
  <CharactersWithSpaces>678</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2025-06-30T04:25:00Z</dcterms:created>
  <dc:creator>帅如狗</dc:creator>
  <cp:lastModifiedBy>郑薇</cp:lastModifiedBy>
  <cp:lastPrinted>2025-05-28T00:46:00Z</cp:lastPrinted>
  <dcterms:modified xsi:type="dcterms:W3CDTF">2026-01-22T05:20:06Z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KSOTemplateDocerSaveRecord">
    <vt:lpwstr>eyJoZGlkIjoiNzRlNzZiNjE1N2NiNDY1MjdjNTllOWUxMWU4Y2ZiZGQiLCJ1c2VySWQiOiIxNzAyMzQ4MDU4In0=</vt:lpwstr>
  </property>
  <property fmtid="{D5CDD505-2E9C-101B-9397-08002B2CF9AE}" pid="4" name="ICV">
    <vt:lpwstr>CCE4D72E6EB74B9E8136E60FFAEA4393_13</vt:lpwstr>
  </property>
</Properties>
</file>