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79886">
      <w:pPr>
        <w:jc w:val="center"/>
        <w:rPr>
          <w:rFonts w:ascii="宋体" w:hAnsi="宋体" w:eastAsia="宋体" w:cs="宋体"/>
          <w:b/>
          <w:bCs/>
          <w:color w:val="404040"/>
          <w:sz w:val="32"/>
          <w:szCs w:val="32"/>
        </w:rPr>
      </w:pPr>
      <w:r>
        <w:rPr>
          <w:rFonts w:hint="eastAsia" w:ascii="宋体" w:hAnsi="宋体" w:eastAsia="宋体" w:cs="宋体"/>
          <w:b/>
          <w:bCs/>
          <w:color w:val="404040"/>
          <w:sz w:val="32"/>
          <w:szCs w:val="32"/>
          <w:lang w:val="en-US" w:eastAsia="zh-CN"/>
        </w:rPr>
        <w:t>福建省肿瘤医院快递驿站服务项目招标公告</w:t>
      </w:r>
    </w:p>
    <w:p w14:paraId="266AEA9E">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一、招标项目概况和范围</w:t>
      </w:r>
    </w:p>
    <w:p w14:paraId="329D8F5B">
      <w:pPr>
        <w:pStyle w:val="36"/>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项目名称：福建省肿瘤医院对快递驿站服务项目</w:t>
      </w:r>
    </w:p>
    <w:p w14:paraId="66361B01">
      <w:pPr>
        <w:pStyle w:val="36"/>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项目地点：福马路420号。</w:t>
      </w:r>
    </w:p>
    <w:p w14:paraId="3D66DCCF">
      <w:pPr>
        <w:pStyle w:val="36"/>
        <w:numPr>
          <w:ilvl w:val="0"/>
          <w:numId w:val="0"/>
        </w:numPr>
        <w:adjustRightInd/>
        <w:snapToGrid/>
        <w:spacing w:after="0" w:line="480" w:lineRule="atLeast"/>
        <w:ind w:left="390" w:leftChars="0"/>
        <w:contextualSpacing w:val="0"/>
        <w:rPr>
          <w:rFonts w:ascii="宋体" w:hAnsi="宋体" w:eastAsia="宋体" w:cs="宋体"/>
          <w:b/>
          <w:bCs/>
          <w:color w:val="404040"/>
          <w:sz w:val="32"/>
          <w:szCs w:val="32"/>
        </w:rPr>
      </w:pPr>
      <w:r>
        <w:rPr>
          <w:rFonts w:hint="eastAsia" w:ascii="黑体" w:hAnsi="黑体" w:eastAsia="黑体" w:cs="宋体"/>
          <w:b/>
          <w:bCs/>
          <w:color w:val="404040"/>
          <w:sz w:val="26"/>
        </w:rPr>
        <w:t>二、投标人资格要求及审查办法</w:t>
      </w:r>
    </w:p>
    <w:p w14:paraId="13DCAC44">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满足《中华人民共和国政府采购法》第二十二条规定。</w:t>
      </w:r>
    </w:p>
    <w:p w14:paraId="22E16C38">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落实政府采购政策需满足的资格要求。</w:t>
      </w:r>
    </w:p>
    <w:p w14:paraId="130270E6">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委托代表人资格证明书（附法人及委托人身份证）。</w:t>
      </w:r>
    </w:p>
    <w:p w14:paraId="514FDA09">
      <w:pPr>
        <w:pStyle w:val="36"/>
        <w:numPr>
          <w:ilvl w:val="0"/>
          <w:numId w:val="2"/>
        </w:numPr>
        <w:rPr>
          <w:rFonts w:ascii="宋体" w:hAnsi="宋体" w:eastAsia="宋体" w:cs="宋体"/>
          <w:color w:val="404040"/>
          <w:sz w:val="26"/>
          <w:szCs w:val="26"/>
        </w:rPr>
      </w:pPr>
      <w:r>
        <w:rPr>
          <w:rFonts w:hint="eastAsia" w:ascii="宋体" w:hAnsi="宋体" w:eastAsia="宋体" w:cs="宋体"/>
          <w:color w:val="404040"/>
          <w:sz w:val="26"/>
          <w:szCs w:val="26"/>
        </w:rPr>
        <w:t>财务状况报告（最近一个年度经审计的财务报告或资信证明或投标担保函）；</w:t>
      </w:r>
    </w:p>
    <w:p w14:paraId="1CD2D2BF">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参加本次活动前三年内，在经营活动中没有重大违法违规记录的承诺。</w:t>
      </w:r>
    </w:p>
    <w:p w14:paraId="419FCA7B">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资格审查采用方式：资格后审。</w:t>
      </w:r>
    </w:p>
    <w:p w14:paraId="20FA8655">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本招标项目不接受联合体投标，不接受备选投标方案，不允许分包。</w:t>
      </w:r>
    </w:p>
    <w:p w14:paraId="09132766">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投标人应通过“信用中国（</w:t>
      </w:r>
      <w:r>
        <w:fldChar w:fldCharType="begin"/>
      </w:r>
      <w:r>
        <w:instrText xml:space="preserve"> HYPERLINK "http://www.creditchina.gov.cn/" </w:instrText>
      </w:r>
      <w:r>
        <w:fldChar w:fldCharType="separate"/>
      </w:r>
      <w:r>
        <w:rPr>
          <w:rFonts w:hint="eastAsia"/>
          <w:color w:val="404040"/>
        </w:rPr>
        <w:t>www.creditchina.gov.cn</w:t>
      </w:r>
      <w:r>
        <w:rPr>
          <w:rFonts w:hint="eastAsia"/>
          <w:color w:val="404040"/>
        </w:rPr>
        <w:fldChar w:fldCharType="end"/>
      </w:r>
      <w:r>
        <w:rPr>
          <w:rFonts w:hint="eastAsia" w:ascii="宋体" w:hAnsi="宋体" w:eastAsia="宋体" w:cs="宋体"/>
          <w:color w:val="404040"/>
          <w:sz w:val="26"/>
          <w:szCs w:val="26"/>
        </w:rPr>
        <w:t>)”、“中国政府采购网(</w:t>
      </w:r>
      <w:r>
        <w:fldChar w:fldCharType="begin"/>
      </w:r>
      <w:r>
        <w:instrText xml:space="preserve"> HYPERLINK "http://www.ccgp.gov.cn" </w:instrText>
      </w:r>
      <w:r>
        <w:fldChar w:fldCharType="separate"/>
      </w:r>
      <w:r>
        <w:rPr>
          <w:rFonts w:hint="eastAsia"/>
          <w:color w:val="404040"/>
        </w:rPr>
        <w:t>www.ccgp.gov.cn</w:t>
      </w:r>
      <w:r>
        <w:rPr>
          <w:rFonts w:hint="eastAsia"/>
          <w:color w:val="404040"/>
        </w:rPr>
        <w:fldChar w:fldCharType="end"/>
      </w:r>
      <w:r>
        <w:rPr>
          <w:rFonts w:hint="eastAsia" w:ascii="宋体" w:hAnsi="宋体" w:eastAsia="宋体" w:cs="宋体"/>
          <w:color w:val="404040"/>
          <w:sz w:val="26"/>
          <w:szCs w:val="26"/>
        </w:rPr>
        <w:t>)”查询并打印相应的信用记录。</w:t>
      </w:r>
    </w:p>
    <w:p w14:paraId="550D3584">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5D0955FF">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现场勘察：本次招标，采购人不统一组织勘察现场。各潜在投标人若需要查勘现场，应事先与采购人联系现场勘察事宜。</w:t>
      </w:r>
    </w:p>
    <w:p w14:paraId="4D87C648">
      <w:pPr>
        <w:pStyle w:val="36"/>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上述提供材料均须加盖公章。</w:t>
      </w:r>
    </w:p>
    <w:p w14:paraId="5F93C432">
      <w:pPr>
        <w:pStyle w:val="36"/>
        <w:numPr>
          <w:ilvl w:val="0"/>
          <w:numId w:val="0"/>
        </w:numPr>
        <w:adjustRightInd/>
        <w:snapToGrid/>
        <w:spacing w:after="0" w:line="480" w:lineRule="atLeast"/>
        <w:ind w:firstLine="520" w:firstLineChars="200"/>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05F17D88">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三、招标文件的获取</w:t>
      </w:r>
    </w:p>
    <w:p w14:paraId="52A23232">
      <w:pPr>
        <w:pStyle w:val="36"/>
        <w:numPr>
          <w:ilvl w:val="0"/>
          <w:numId w:val="3"/>
        </w:numPr>
        <w:adjustRightInd/>
        <w:snapToGrid/>
        <w:spacing w:after="0" w:line="480" w:lineRule="atLeast"/>
        <w:ind w:left="880" w:leftChars="0" w:firstLineChars="0"/>
        <w:contextualSpacing w:val="0"/>
        <w:rPr>
          <w:rFonts w:ascii="宋体" w:hAnsi="宋体" w:eastAsia="宋体" w:cs="宋体"/>
          <w:color w:val="404040"/>
          <w:sz w:val="26"/>
          <w:szCs w:val="26"/>
        </w:rPr>
      </w:pPr>
      <w:r>
        <w:rPr>
          <w:rFonts w:hint="eastAsia" w:ascii="宋体" w:hAnsi="宋体" w:eastAsia="宋体" w:cs="宋体"/>
          <w:color w:val="404040"/>
          <w:sz w:val="26"/>
          <w:szCs w:val="26"/>
        </w:rPr>
        <w:t>本招标项目不采用电子招投标。</w:t>
      </w:r>
    </w:p>
    <w:p w14:paraId="11870993">
      <w:pPr>
        <w:pStyle w:val="36"/>
        <w:numPr>
          <w:ilvl w:val="0"/>
          <w:numId w:val="3"/>
        </w:numPr>
        <w:adjustRightInd/>
        <w:snapToGrid/>
        <w:spacing w:after="0" w:line="480" w:lineRule="atLeast"/>
        <w:ind w:left="880" w:leftChars="0" w:firstLineChars="0"/>
        <w:contextualSpacing w:val="0"/>
        <w:rPr>
          <w:rFonts w:hint="eastAsia" w:ascii="宋体" w:hAnsi="宋体" w:eastAsia="宋体" w:cs="宋体"/>
          <w:color w:val="404040"/>
          <w:sz w:val="26"/>
          <w:szCs w:val="26"/>
        </w:rPr>
      </w:pPr>
      <w:r>
        <w:rPr>
          <w:rFonts w:hint="eastAsia" w:ascii="宋体" w:hAnsi="宋体" w:eastAsia="宋体" w:cs="宋体"/>
          <w:color w:val="404040"/>
          <w:sz w:val="26"/>
          <w:szCs w:val="26"/>
        </w:rPr>
        <w:t>凡有意参加投标者，均可在福建省肿瘤医院官网（https://www.fjzl.com.cn）下载与本项目相关的招标信息（包</w:t>
      </w:r>
      <w:r>
        <w:rPr>
          <w:rFonts w:hint="eastAsia" w:ascii="宋体" w:hAnsi="宋体" w:eastAsia="宋体" w:cs="宋体"/>
          <w:color w:val="404040"/>
          <w:sz w:val="26"/>
          <w:szCs w:val="26"/>
          <w:highlight w:val="none"/>
        </w:rPr>
        <w:t>括招标文件、招标文件补充说明等），并于202</w:t>
      </w:r>
      <w:r>
        <w:rPr>
          <w:rFonts w:hint="eastAsia" w:ascii="宋体" w:hAnsi="宋体" w:cs="宋体"/>
          <w:color w:val="404040"/>
          <w:sz w:val="26"/>
          <w:szCs w:val="26"/>
          <w:highlight w:val="none"/>
          <w:lang w:val="en-US" w:eastAsia="zh-CN"/>
        </w:rPr>
        <w:t>6</w:t>
      </w:r>
      <w:r>
        <w:rPr>
          <w:rFonts w:hint="eastAsia" w:ascii="宋体" w:hAnsi="宋体" w:eastAsia="宋体" w:cs="宋体"/>
          <w:color w:val="404040"/>
          <w:sz w:val="26"/>
          <w:szCs w:val="26"/>
          <w:highlight w:val="none"/>
        </w:rPr>
        <w:t>年</w:t>
      </w:r>
      <w:r>
        <w:rPr>
          <w:rFonts w:hint="eastAsia" w:ascii="宋体" w:hAnsi="宋体" w:cs="宋体"/>
          <w:color w:val="404040"/>
          <w:sz w:val="26"/>
          <w:szCs w:val="26"/>
          <w:highlight w:val="none"/>
          <w:lang w:val="en-US" w:eastAsia="zh-CN"/>
        </w:rPr>
        <w:t>5</w:t>
      </w:r>
      <w:r>
        <w:rPr>
          <w:rFonts w:hint="eastAsia" w:ascii="宋体" w:hAnsi="宋体" w:eastAsia="宋体" w:cs="宋体"/>
          <w:color w:val="404040"/>
          <w:sz w:val="26"/>
          <w:szCs w:val="26"/>
          <w:highlight w:val="none"/>
        </w:rPr>
        <w:t>月</w:t>
      </w:r>
      <w:r>
        <w:rPr>
          <w:rFonts w:hint="eastAsia" w:ascii="宋体" w:hAnsi="宋体" w:cs="宋体"/>
          <w:color w:val="404040"/>
          <w:sz w:val="26"/>
          <w:szCs w:val="26"/>
          <w:highlight w:val="none"/>
          <w:lang w:val="en-US" w:eastAsia="zh-CN"/>
        </w:rPr>
        <w:t>20</w:t>
      </w:r>
      <w:r>
        <w:rPr>
          <w:rFonts w:hint="eastAsia" w:ascii="宋体" w:hAnsi="宋体" w:eastAsia="宋体" w:cs="宋体"/>
          <w:color w:val="404040"/>
          <w:sz w:val="26"/>
          <w:szCs w:val="26"/>
          <w:highlight w:val="none"/>
        </w:rPr>
        <w:t>日至202</w:t>
      </w:r>
      <w:r>
        <w:rPr>
          <w:rFonts w:hint="eastAsia" w:ascii="宋体" w:hAnsi="宋体" w:cs="宋体"/>
          <w:color w:val="404040"/>
          <w:sz w:val="26"/>
          <w:szCs w:val="26"/>
          <w:highlight w:val="none"/>
          <w:lang w:val="en-US" w:eastAsia="zh-CN"/>
        </w:rPr>
        <w:t>6</w:t>
      </w:r>
      <w:r>
        <w:rPr>
          <w:rFonts w:hint="eastAsia" w:ascii="宋体" w:hAnsi="宋体" w:eastAsia="宋体" w:cs="宋体"/>
          <w:color w:val="404040"/>
          <w:sz w:val="26"/>
          <w:szCs w:val="26"/>
          <w:highlight w:val="none"/>
        </w:rPr>
        <w:t>年</w:t>
      </w:r>
      <w:r>
        <w:rPr>
          <w:rFonts w:hint="eastAsia" w:ascii="宋体" w:hAnsi="宋体" w:cs="宋体"/>
          <w:color w:val="404040"/>
          <w:sz w:val="26"/>
          <w:szCs w:val="26"/>
          <w:highlight w:val="none"/>
          <w:lang w:val="en-US" w:eastAsia="zh-CN"/>
        </w:rPr>
        <w:t>5</w:t>
      </w:r>
      <w:r>
        <w:rPr>
          <w:rFonts w:hint="eastAsia" w:ascii="宋体" w:hAnsi="宋体" w:eastAsia="宋体" w:cs="宋体"/>
          <w:color w:val="404040"/>
          <w:sz w:val="26"/>
          <w:szCs w:val="26"/>
          <w:highlight w:val="none"/>
        </w:rPr>
        <w:t>月</w:t>
      </w:r>
      <w:r>
        <w:rPr>
          <w:rFonts w:hint="eastAsia" w:ascii="宋体" w:hAnsi="宋体" w:cs="宋体"/>
          <w:color w:val="404040"/>
          <w:sz w:val="26"/>
          <w:szCs w:val="26"/>
          <w:highlight w:val="none"/>
          <w:lang w:val="en-US" w:eastAsia="zh-CN"/>
        </w:rPr>
        <w:t>26</w:t>
      </w:r>
      <w:r>
        <w:rPr>
          <w:rFonts w:hint="eastAsia" w:ascii="宋体" w:hAnsi="宋体" w:eastAsia="宋体" w:cs="宋体"/>
          <w:color w:val="404040"/>
          <w:sz w:val="26"/>
          <w:szCs w:val="26"/>
          <w:highlight w:val="none"/>
        </w:rPr>
        <w:t>日(节假日除外)8：00-12：00或14：00-17：00，携带加盖公章的营业执照复印件、介绍信前往福建省肿瘤医院总务科报名。</w:t>
      </w:r>
    </w:p>
    <w:p w14:paraId="37AB439C">
      <w:pPr>
        <w:pStyle w:val="36"/>
        <w:numPr>
          <w:ilvl w:val="0"/>
          <w:numId w:val="3"/>
        </w:numPr>
        <w:adjustRightInd/>
        <w:snapToGrid/>
        <w:spacing w:after="0" w:line="480" w:lineRule="atLeast"/>
        <w:ind w:left="880" w:leftChars="0" w:firstLineChars="0"/>
        <w:contextualSpacing w:val="0"/>
        <w:rPr>
          <w:rFonts w:ascii="方正仿宋简体" w:hAnsi="宋体" w:eastAsia="方正仿宋简体" w:cs="宋体"/>
          <w:color w:val="404040"/>
          <w:sz w:val="28"/>
          <w:szCs w:val="28"/>
        </w:rPr>
      </w:pPr>
      <w:r>
        <w:rPr>
          <w:rFonts w:hint="eastAsia" w:ascii="宋体" w:hAnsi="宋体" w:eastAsia="宋体" w:cs="宋体"/>
          <w:color w:val="404040"/>
          <w:sz w:val="26"/>
          <w:szCs w:val="26"/>
        </w:rPr>
        <w:t>项目联系人：陈女士</w:t>
      </w:r>
      <w:r>
        <w:rPr>
          <w:rFonts w:hint="eastAsia" w:ascii="宋体" w:hAnsi="宋体" w:eastAsia="宋体" w:cs="宋体"/>
          <w:color w:val="404040"/>
          <w:sz w:val="26"/>
          <w:szCs w:val="26"/>
          <w:lang w:val="en-US" w:eastAsia="zh-CN"/>
        </w:rPr>
        <w:t xml:space="preserve">           </w:t>
      </w:r>
      <w:r>
        <w:rPr>
          <w:rFonts w:hint="eastAsia" w:ascii="宋体" w:hAnsi="宋体" w:eastAsia="宋体" w:cs="宋体"/>
          <w:color w:val="404040"/>
          <w:sz w:val="26"/>
          <w:szCs w:val="26"/>
        </w:rPr>
        <w:t>联系电话：0591-62752801</w:t>
      </w:r>
    </w:p>
    <w:p w14:paraId="1161B5EC">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四、答疑截止时间</w:t>
      </w:r>
    </w:p>
    <w:p w14:paraId="3CC385FB">
      <w:pPr>
        <w:adjustRightInd/>
        <w:snapToGrid/>
        <w:spacing w:before="150" w:after="0" w:line="480" w:lineRule="atLeast"/>
        <w:ind w:firstLine="520" w:firstLineChars="200"/>
        <w:jc w:val="both"/>
        <w:rPr>
          <w:rFonts w:ascii="方正仿宋简体" w:hAnsi="宋体" w:eastAsia="方正仿宋简体" w:cs="宋体"/>
          <w:color w:val="404040"/>
          <w:sz w:val="28"/>
          <w:szCs w:val="28"/>
        </w:rPr>
      </w:pPr>
      <w:r>
        <w:rPr>
          <w:rFonts w:hint="eastAsia" w:ascii="宋体" w:hAnsi="宋体" w:eastAsia="宋体" w:cs="宋体"/>
          <w:color w:val="404040"/>
          <w:sz w:val="26"/>
          <w:szCs w:val="26"/>
        </w:rPr>
        <w:t>投标人若要求澄清招标文件，应在获取招标文件截止时间后的2个工作日内提出，招标人将随时解答。</w:t>
      </w:r>
    </w:p>
    <w:p w14:paraId="6D0F1ED5">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五、投标文件的要求及递交</w:t>
      </w:r>
    </w:p>
    <w:p w14:paraId="04A72325">
      <w:pPr>
        <w:pStyle w:val="36"/>
        <w:numPr>
          <w:ilvl w:val="0"/>
          <w:numId w:val="4"/>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投标文件正本壹份</w:t>
      </w:r>
      <w:r>
        <w:rPr>
          <w:rFonts w:ascii="宋体" w:hAnsi="宋体" w:eastAsia="宋体" w:cs="宋体"/>
          <w:color w:val="404040"/>
          <w:sz w:val="26"/>
          <w:szCs w:val="26"/>
        </w:rPr>
        <w:t>,</w:t>
      </w:r>
      <w:r>
        <w:rPr>
          <w:rFonts w:hint="eastAsia" w:ascii="宋体" w:hAnsi="宋体" w:eastAsia="宋体" w:cs="宋体"/>
          <w:color w:val="404040"/>
          <w:sz w:val="26"/>
          <w:szCs w:val="26"/>
        </w:rPr>
        <w:t>副本壹份胶装并密封加盖投标人公章。投标文件未胶装密封将导致其投标文件被拒绝。</w:t>
      </w:r>
    </w:p>
    <w:p w14:paraId="676E4BD3">
      <w:pPr>
        <w:pStyle w:val="36"/>
        <w:numPr>
          <w:ilvl w:val="0"/>
          <w:numId w:val="4"/>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投标文</w:t>
      </w:r>
      <w:r>
        <w:rPr>
          <w:rFonts w:hint="eastAsia" w:ascii="宋体" w:hAnsi="宋体" w:eastAsia="宋体" w:cs="宋体"/>
          <w:color w:val="404040"/>
          <w:sz w:val="26"/>
          <w:szCs w:val="26"/>
          <w:highlight w:val="none"/>
        </w:rPr>
        <w:t>件递交的截止时间：202</w:t>
      </w:r>
      <w:r>
        <w:rPr>
          <w:rFonts w:hint="eastAsia" w:ascii="宋体" w:hAnsi="宋体" w:cs="宋体"/>
          <w:color w:val="404040"/>
          <w:sz w:val="26"/>
          <w:szCs w:val="26"/>
          <w:highlight w:val="none"/>
          <w:lang w:val="en-US" w:eastAsia="zh-CN"/>
        </w:rPr>
        <w:t>6</w:t>
      </w:r>
      <w:r>
        <w:rPr>
          <w:rFonts w:hint="eastAsia" w:ascii="宋体" w:hAnsi="宋体" w:eastAsia="宋体" w:cs="宋体"/>
          <w:color w:val="404040"/>
          <w:sz w:val="26"/>
          <w:szCs w:val="26"/>
          <w:highlight w:val="none"/>
        </w:rPr>
        <w:t>年</w:t>
      </w:r>
      <w:r>
        <w:rPr>
          <w:rFonts w:hint="eastAsia" w:ascii="宋体" w:hAnsi="宋体" w:cs="宋体"/>
          <w:color w:val="404040"/>
          <w:sz w:val="26"/>
          <w:szCs w:val="26"/>
          <w:highlight w:val="none"/>
          <w:lang w:val="en-US" w:eastAsia="zh-CN"/>
        </w:rPr>
        <w:t>5</w:t>
      </w:r>
      <w:r>
        <w:rPr>
          <w:rFonts w:hint="eastAsia" w:ascii="宋体" w:hAnsi="宋体" w:eastAsia="宋体" w:cs="宋体"/>
          <w:color w:val="404040"/>
          <w:sz w:val="26"/>
          <w:szCs w:val="26"/>
          <w:highlight w:val="none"/>
        </w:rPr>
        <w:t>月</w:t>
      </w:r>
      <w:r>
        <w:rPr>
          <w:rFonts w:hint="eastAsia" w:ascii="宋体" w:hAnsi="宋体" w:cs="宋体"/>
          <w:color w:val="404040"/>
          <w:sz w:val="26"/>
          <w:szCs w:val="26"/>
          <w:highlight w:val="none"/>
          <w:lang w:val="en-US" w:eastAsia="zh-CN"/>
        </w:rPr>
        <w:t>27</w:t>
      </w:r>
      <w:r>
        <w:rPr>
          <w:rFonts w:hint="eastAsia" w:ascii="宋体" w:hAnsi="宋体" w:eastAsia="宋体" w:cs="宋体"/>
          <w:color w:val="404040"/>
          <w:sz w:val="26"/>
          <w:szCs w:val="26"/>
          <w:highlight w:val="none"/>
        </w:rPr>
        <w:t>日</w:t>
      </w:r>
      <w:r>
        <w:rPr>
          <w:rFonts w:hint="eastAsia" w:ascii="宋体" w:hAnsi="宋体" w:eastAsia="宋体" w:cs="宋体"/>
          <w:color w:val="404040"/>
          <w:sz w:val="26"/>
          <w:szCs w:val="26"/>
          <w:highlight w:val="none"/>
          <w:lang w:val="en-US" w:eastAsia="zh-CN"/>
        </w:rPr>
        <w:t>9</w:t>
      </w:r>
      <w:r>
        <w:rPr>
          <w:rFonts w:hint="eastAsia" w:ascii="宋体" w:hAnsi="宋体" w:eastAsia="宋体" w:cs="宋体"/>
          <w:color w:val="404040"/>
          <w:sz w:val="26"/>
          <w:szCs w:val="26"/>
          <w:highlight w:val="none"/>
        </w:rPr>
        <w:t>:00</w:t>
      </w:r>
      <w:r>
        <w:rPr>
          <w:rFonts w:hint="eastAsia" w:ascii="宋体" w:hAnsi="宋体" w:eastAsia="宋体" w:cs="宋体"/>
          <w:color w:val="404040"/>
          <w:sz w:val="26"/>
          <w:szCs w:val="26"/>
          <w:highlight w:val="none"/>
        </w:rPr>
        <w:t>，提交地点为福建省肿瘤医院总务科，未送达指定地点或逾期送达者拒收。</w:t>
      </w:r>
    </w:p>
    <w:p w14:paraId="53299D4D">
      <w:pPr>
        <w:adjustRightInd/>
        <w:snapToGrid/>
        <w:spacing w:before="150" w:after="0" w:line="480" w:lineRule="atLeast"/>
        <w:jc w:val="both"/>
        <w:rPr>
          <w:rFonts w:ascii="黑体" w:hAnsi="黑体" w:eastAsia="黑体" w:cs="宋体"/>
          <w:b/>
          <w:bCs/>
          <w:color w:val="404040"/>
          <w:sz w:val="26"/>
          <w:highlight w:val="none"/>
        </w:rPr>
      </w:pPr>
      <w:r>
        <w:rPr>
          <w:rFonts w:hint="eastAsia" w:ascii="黑体" w:hAnsi="黑体" w:eastAsia="黑体" w:cs="宋体"/>
          <w:b/>
          <w:bCs/>
          <w:color w:val="404040"/>
          <w:sz w:val="26"/>
          <w:highlight w:val="none"/>
        </w:rPr>
        <w:t>六、开标评标时间地点</w:t>
      </w:r>
    </w:p>
    <w:p w14:paraId="6EADCA53">
      <w:pPr>
        <w:numPr>
          <w:ilvl w:val="0"/>
          <w:numId w:val="5"/>
        </w:numPr>
        <w:adjustRightInd/>
        <w:snapToGrid/>
        <w:spacing w:before="150" w:after="0" w:line="480" w:lineRule="atLeast"/>
        <w:ind w:left="865" w:leftChars="0" w:hanging="425" w:firstLineChars="0"/>
        <w:jc w:val="both"/>
        <w:rPr>
          <w:rFonts w:ascii="方正仿宋简体" w:hAnsi="宋体" w:eastAsia="方正仿宋简体" w:cs="宋体"/>
          <w:color w:val="404040"/>
          <w:sz w:val="28"/>
          <w:szCs w:val="28"/>
          <w:highlight w:val="none"/>
        </w:rPr>
      </w:pPr>
      <w:r>
        <w:rPr>
          <w:rFonts w:hint="eastAsia" w:ascii="宋体" w:hAnsi="宋体" w:eastAsia="宋体" w:cs="宋体"/>
          <w:color w:val="404040"/>
          <w:sz w:val="26"/>
          <w:szCs w:val="26"/>
          <w:highlight w:val="none"/>
        </w:rPr>
        <w:t>开标时间：202</w:t>
      </w:r>
      <w:r>
        <w:rPr>
          <w:rFonts w:hint="eastAsia" w:ascii="宋体" w:hAnsi="宋体" w:cs="宋体"/>
          <w:color w:val="404040"/>
          <w:sz w:val="26"/>
          <w:szCs w:val="26"/>
          <w:highlight w:val="none"/>
          <w:lang w:val="en-US" w:eastAsia="zh-CN"/>
        </w:rPr>
        <w:t>6</w:t>
      </w:r>
      <w:r>
        <w:rPr>
          <w:rFonts w:hint="eastAsia" w:ascii="宋体" w:hAnsi="宋体" w:eastAsia="宋体" w:cs="宋体"/>
          <w:color w:val="404040"/>
          <w:sz w:val="26"/>
          <w:szCs w:val="26"/>
          <w:highlight w:val="none"/>
        </w:rPr>
        <w:t>年</w:t>
      </w:r>
      <w:r>
        <w:rPr>
          <w:rFonts w:hint="eastAsia" w:ascii="宋体" w:hAnsi="宋体" w:cs="宋体"/>
          <w:color w:val="404040"/>
          <w:sz w:val="26"/>
          <w:szCs w:val="26"/>
          <w:highlight w:val="none"/>
          <w:lang w:val="en-US" w:eastAsia="zh-CN"/>
        </w:rPr>
        <w:t>5</w:t>
      </w:r>
      <w:r>
        <w:rPr>
          <w:rFonts w:hint="eastAsia" w:ascii="宋体" w:hAnsi="宋体" w:eastAsia="宋体" w:cs="宋体"/>
          <w:color w:val="404040"/>
          <w:sz w:val="26"/>
          <w:szCs w:val="26"/>
          <w:highlight w:val="none"/>
        </w:rPr>
        <w:t>月</w:t>
      </w:r>
      <w:r>
        <w:rPr>
          <w:rFonts w:hint="eastAsia" w:ascii="宋体" w:hAnsi="宋体" w:cs="宋体"/>
          <w:color w:val="404040"/>
          <w:sz w:val="26"/>
          <w:szCs w:val="26"/>
          <w:highlight w:val="none"/>
          <w:lang w:val="en-US" w:eastAsia="zh-CN"/>
        </w:rPr>
        <w:t>27</w:t>
      </w:r>
      <w:r>
        <w:rPr>
          <w:rFonts w:hint="eastAsia" w:ascii="宋体" w:hAnsi="宋体" w:eastAsia="宋体" w:cs="宋体"/>
          <w:color w:val="404040"/>
          <w:sz w:val="26"/>
          <w:szCs w:val="26"/>
          <w:highlight w:val="none"/>
        </w:rPr>
        <w:t>日</w:t>
      </w:r>
      <w:r>
        <w:rPr>
          <w:rFonts w:hint="eastAsia" w:ascii="宋体" w:hAnsi="宋体" w:eastAsia="宋体" w:cs="宋体"/>
          <w:color w:val="404040"/>
          <w:sz w:val="26"/>
          <w:szCs w:val="26"/>
          <w:highlight w:val="none"/>
          <w:lang w:val="en-US" w:eastAsia="zh-CN"/>
        </w:rPr>
        <w:t>9</w:t>
      </w:r>
      <w:r>
        <w:rPr>
          <w:rFonts w:hint="eastAsia" w:ascii="宋体" w:hAnsi="宋体" w:eastAsia="宋体" w:cs="宋体"/>
          <w:color w:val="404040"/>
          <w:sz w:val="26"/>
          <w:szCs w:val="26"/>
          <w:highlight w:val="none"/>
        </w:rPr>
        <w:t>:00时</w:t>
      </w:r>
    </w:p>
    <w:p w14:paraId="198A9918">
      <w:pPr>
        <w:numPr>
          <w:ilvl w:val="0"/>
          <w:numId w:val="5"/>
        </w:numPr>
        <w:adjustRightInd/>
        <w:snapToGrid/>
        <w:spacing w:before="150" w:after="0" w:line="480" w:lineRule="atLeast"/>
        <w:ind w:left="865" w:leftChars="0" w:hanging="425" w:firstLineChars="0"/>
        <w:jc w:val="both"/>
        <w:rPr>
          <w:rFonts w:ascii="宋体" w:hAnsi="宋体" w:eastAsia="宋体" w:cs="宋体"/>
          <w:color w:val="404040"/>
          <w:sz w:val="26"/>
          <w:szCs w:val="26"/>
        </w:rPr>
      </w:pPr>
      <w:r>
        <w:rPr>
          <w:rFonts w:hint="eastAsia" w:ascii="宋体" w:hAnsi="宋体" w:eastAsia="宋体" w:cs="宋体"/>
          <w:color w:val="404040"/>
          <w:sz w:val="26"/>
          <w:szCs w:val="26"/>
        </w:rPr>
        <w:t>评标时间：开标后即开始评标。</w:t>
      </w:r>
    </w:p>
    <w:p w14:paraId="6D7D77DF">
      <w:pPr>
        <w:numPr>
          <w:ilvl w:val="0"/>
          <w:numId w:val="5"/>
        </w:numPr>
        <w:adjustRightInd/>
        <w:snapToGrid/>
        <w:spacing w:before="150" w:after="0" w:line="480" w:lineRule="atLeast"/>
        <w:ind w:left="865" w:leftChars="0" w:hanging="425" w:firstLineChars="0"/>
        <w:jc w:val="both"/>
        <w:rPr>
          <w:rFonts w:ascii="宋体" w:hAnsi="宋体" w:eastAsia="宋体" w:cs="宋体"/>
          <w:color w:val="404040"/>
          <w:sz w:val="26"/>
          <w:szCs w:val="26"/>
        </w:rPr>
      </w:pPr>
      <w:r>
        <w:rPr>
          <w:rFonts w:hint="eastAsia" w:ascii="宋体" w:hAnsi="宋体" w:eastAsia="宋体" w:cs="宋体"/>
          <w:color w:val="404040"/>
          <w:sz w:val="26"/>
          <w:szCs w:val="26"/>
        </w:rPr>
        <w:t>地点：福建省肿瘤医院科研楼一楼总务科</w:t>
      </w:r>
    </w:p>
    <w:p w14:paraId="3717CAA8">
      <w:pPr>
        <w:adjustRightInd/>
        <w:snapToGrid/>
        <w:spacing w:before="150" w:after="0" w:line="480" w:lineRule="atLeast"/>
        <w:jc w:val="both"/>
        <w:rPr>
          <w:rFonts w:ascii="宋体" w:hAnsi="宋体" w:eastAsia="宋体" w:cs="宋体"/>
          <w:color w:val="404040"/>
          <w:sz w:val="26"/>
          <w:szCs w:val="26"/>
        </w:rPr>
      </w:pPr>
      <w:r>
        <w:rPr>
          <w:rFonts w:hint="eastAsia" w:ascii="宋体" w:hAnsi="宋体" w:eastAsia="宋体" w:cs="宋体"/>
          <w:color w:val="404040"/>
          <w:sz w:val="26"/>
          <w:szCs w:val="26"/>
        </w:rPr>
        <w:t>备注：</w:t>
      </w:r>
    </w:p>
    <w:p w14:paraId="7FBE4D66">
      <w:pPr>
        <w:numPr>
          <w:ilvl w:val="0"/>
          <w:numId w:val="6"/>
        </w:numPr>
        <w:spacing w:before="150" w:line="560" w:lineRule="exact"/>
        <w:ind w:left="-80" w:leftChars="0" w:firstLine="520" w:firstLineChars="0"/>
        <w:rPr>
          <w:rFonts w:hint="eastAsia" w:ascii="宋体" w:hAnsi="宋体" w:eastAsia="宋体" w:cs="宋体"/>
          <w:color w:val="404040"/>
          <w:sz w:val="26"/>
          <w:szCs w:val="26"/>
        </w:rPr>
      </w:pPr>
      <w:r>
        <w:rPr>
          <w:rFonts w:hint="eastAsia" w:ascii="宋体" w:hAnsi="宋体" w:eastAsia="宋体" w:cs="宋体"/>
          <w:color w:val="404040"/>
          <w:sz w:val="26"/>
          <w:szCs w:val="26"/>
        </w:rPr>
        <w:t>未参加报名的潜在投标人，其投标文件将被拒绝。</w:t>
      </w:r>
    </w:p>
    <w:p w14:paraId="5696B110">
      <w:pPr>
        <w:numPr>
          <w:ilvl w:val="0"/>
          <w:numId w:val="6"/>
        </w:numPr>
        <w:spacing w:before="150" w:line="560" w:lineRule="exact"/>
        <w:ind w:left="-80" w:leftChars="0" w:firstLine="520" w:firstLineChars="0"/>
        <w:rPr>
          <w:rFonts w:ascii="宋体" w:hAnsi="宋体" w:eastAsia="宋体" w:cs="宋体"/>
          <w:color w:val="404040"/>
          <w:sz w:val="26"/>
          <w:szCs w:val="26"/>
        </w:rPr>
      </w:pPr>
      <w:r>
        <w:rPr>
          <w:rFonts w:hint="eastAsia" w:ascii="宋体" w:hAnsi="宋体" w:eastAsia="宋体" w:cs="宋体"/>
          <w:color w:val="404040"/>
          <w:sz w:val="26"/>
          <w:szCs w:val="26"/>
        </w:rPr>
        <w:t>若有涉及招标文件内容更正，请各潜在投标人密切关注福建省肿瘤医院官网通知，以最新公告为准。</w:t>
      </w:r>
    </w:p>
    <w:p w14:paraId="79886EEB">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lang w:val="en-US" w:eastAsia="zh-CN"/>
        </w:rPr>
        <w:t>七</w:t>
      </w:r>
      <w:r>
        <w:rPr>
          <w:rFonts w:hint="eastAsia" w:ascii="黑体" w:hAnsi="黑体" w:eastAsia="黑体" w:cs="宋体"/>
          <w:b/>
          <w:bCs/>
          <w:color w:val="404040"/>
          <w:sz w:val="26"/>
        </w:rPr>
        <w:t>、评标原则及办法</w:t>
      </w:r>
    </w:p>
    <w:p w14:paraId="40309FD8">
      <w:pPr>
        <w:pStyle w:val="36"/>
        <w:numPr>
          <w:ilvl w:val="0"/>
          <w:numId w:val="7"/>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评标活动遵循公平、公正、科学和择优的原则。</w:t>
      </w:r>
    </w:p>
    <w:p w14:paraId="4BDF0C33">
      <w:pPr>
        <w:pStyle w:val="36"/>
        <w:numPr>
          <w:ilvl w:val="0"/>
          <w:numId w:val="7"/>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评标方法：</w:t>
      </w:r>
      <w:r>
        <w:rPr>
          <w:rFonts w:hint="eastAsia" w:ascii="宋体" w:hAnsi="宋体" w:cs="宋体"/>
          <w:color w:val="404040"/>
          <w:sz w:val="26"/>
          <w:szCs w:val="26"/>
          <w:lang w:val="en-US" w:eastAsia="zh-CN"/>
        </w:rPr>
        <w:t>综合评分法</w:t>
      </w:r>
      <w:r>
        <w:rPr>
          <w:rFonts w:hint="eastAsia" w:ascii="宋体" w:hAnsi="宋体" w:eastAsia="宋体" w:cs="宋体"/>
          <w:color w:val="404040"/>
          <w:sz w:val="26"/>
          <w:szCs w:val="26"/>
          <w:lang w:val="en-US" w:eastAsia="zh-CN"/>
        </w:rPr>
        <w:t>。</w:t>
      </w:r>
    </w:p>
    <w:p w14:paraId="38DE564D">
      <w:pPr>
        <w:pStyle w:val="36"/>
        <w:numPr>
          <w:ilvl w:val="0"/>
          <w:numId w:val="7"/>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投标人之间有相互串通投标、弄虚作假等违规行为者，将作废标处理，并在我院未来的项目招标中被拒绝接受投标。</w:t>
      </w:r>
    </w:p>
    <w:p w14:paraId="155387E2">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lang w:val="en-US" w:eastAsia="zh-CN"/>
        </w:rPr>
        <w:t>八</w:t>
      </w:r>
      <w:r>
        <w:rPr>
          <w:rFonts w:hint="eastAsia" w:ascii="黑体" w:hAnsi="黑体" w:eastAsia="黑体" w:cs="宋体"/>
          <w:b/>
          <w:bCs/>
          <w:color w:val="404040"/>
          <w:sz w:val="26"/>
        </w:rPr>
        <w:t>、合同条款内容及签订</w:t>
      </w:r>
    </w:p>
    <w:p w14:paraId="51B7B943">
      <w:pPr>
        <w:pStyle w:val="36"/>
        <w:numPr>
          <w:ilvl w:val="0"/>
          <w:numId w:val="8"/>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合同专用条款内容依照国家规范文本，合同通用条款内容解释依照国家规范文本。</w:t>
      </w:r>
    </w:p>
    <w:p w14:paraId="392F5B9F">
      <w:pPr>
        <w:pStyle w:val="36"/>
        <w:numPr>
          <w:ilvl w:val="0"/>
          <w:numId w:val="8"/>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合同签订：中标人在接到中标通知后3天内，应派代表与招标人联系，商讨签订合同事宜。</w:t>
      </w:r>
    </w:p>
    <w:p w14:paraId="06853512">
      <w:pPr>
        <w:adjustRightInd/>
        <w:snapToGrid/>
        <w:spacing w:before="150" w:after="0" w:line="480" w:lineRule="atLeast"/>
        <w:jc w:val="both"/>
        <w:rPr>
          <w:rFonts w:ascii="黑体" w:hAnsi="黑体" w:eastAsia="黑体" w:cs="宋体"/>
          <w:b/>
          <w:bCs/>
          <w:color w:val="404040"/>
          <w:sz w:val="26"/>
        </w:rPr>
      </w:pPr>
      <w:r>
        <w:rPr>
          <w:rFonts w:hint="eastAsia" w:eastAsia="黑体" w:cs="宋体"/>
          <w:b/>
          <w:bCs/>
          <w:color w:val="404040"/>
          <w:sz w:val="26"/>
          <w:lang w:val="en-US" w:eastAsia="zh-CN"/>
        </w:rPr>
        <w:t>九</w:t>
      </w:r>
      <w:r>
        <w:rPr>
          <w:rFonts w:hint="eastAsia" w:ascii="黑体" w:hAnsi="黑体" w:eastAsia="黑体" w:cs="宋体"/>
          <w:b/>
          <w:bCs/>
          <w:color w:val="404040"/>
          <w:sz w:val="26"/>
        </w:rPr>
        <w:t>、监督电话</w:t>
      </w:r>
    </w:p>
    <w:p w14:paraId="622BB401">
      <w:pPr>
        <w:adjustRightInd/>
        <w:snapToGrid/>
        <w:spacing w:before="150" w:after="0" w:line="480" w:lineRule="atLeast"/>
        <w:ind w:firstLine="480"/>
        <w:jc w:val="both"/>
        <w:rPr>
          <w:rFonts w:ascii="宋体" w:hAnsi="宋体" w:eastAsia="宋体" w:cs="宋体"/>
          <w:color w:val="404040"/>
          <w:sz w:val="26"/>
          <w:szCs w:val="26"/>
        </w:rPr>
      </w:pPr>
      <w:r>
        <w:rPr>
          <w:rFonts w:ascii="宋体" w:hAnsi="宋体" w:eastAsia="宋体" w:cs="宋体"/>
          <w:color w:val="404040"/>
          <w:sz w:val="26"/>
          <w:szCs w:val="26"/>
        </w:rPr>
        <w:t>在采购报名、采购调研等采购过程中有任何异议，可联系我院监督科室。电话：83660063-8407；83660063-8467。</w:t>
      </w:r>
    </w:p>
    <w:p w14:paraId="20AD6C45">
      <w:pPr>
        <w:ind w:firstLine="480"/>
        <w:rPr>
          <w:rFonts w:ascii="宋体" w:hAnsi="宋体" w:cs="Times New Roman"/>
          <w:sz w:val="24"/>
          <w:u w:val="single"/>
        </w:rPr>
      </w:pPr>
    </w:p>
    <w:p w14:paraId="3BABA83D">
      <w:pPr>
        <w:rPr>
          <w:rFonts w:ascii="宋体" w:hAnsi="宋体" w:cs="Times New Roman"/>
          <w:sz w:val="28"/>
          <w:szCs w:val="28"/>
          <w:u w:val="single"/>
        </w:rPr>
      </w:pPr>
    </w:p>
    <w:p w14:paraId="79799431">
      <w:pPr>
        <w:adjustRightInd/>
        <w:snapToGrid/>
        <w:spacing w:before="150" w:after="0" w:line="480" w:lineRule="atLeast"/>
        <w:ind w:left="6354" w:leftChars="399" w:hanging="5516" w:hangingChars="1970"/>
        <w:jc w:val="both"/>
        <w:rPr>
          <w:rFonts w:hint="eastAsia" w:ascii="宋体" w:hAnsi="宋体" w:eastAsia="宋体" w:cs="宋体"/>
          <w:color w:val="404040"/>
          <w:sz w:val="26"/>
          <w:szCs w:val="26"/>
          <w:lang w:val="en-US" w:eastAsia="zh-CN"/>
        </w:rPr>
      </w:pPr>
      <w:r>
        <w:rPr>
          <w:rFonts w:hint="eastAsia" w:ascii="宋体" w:hAnsi="宋体" w:cs="Times New Roman"/>
          <w:sz w:val="28"/>
          <w:szCs w:val="28"/>
        </w:rPr>
        <w:t xml:space="preserve">                                </w:t>
      </w:r>
      <w:r>
        <w:rPr>
          <w:rFonts w:hint="eastAsia" w:ascii="宋体" w:hAnsi="宋体" w:cs="Times New Roman"/>
          <w:sz w:val="28"/>
          <w:szCs w:val="28"/>
          <w:lang w:val="en-US" w:eastAsia="zh-CN"/>
        </w:rPr>
        <w:t xml:space="preserve">       </w:t>
      </w:r>
      <w:r>
        <w:rPr>
          <w:rFonts w:hint="eastAsia" w:ascii="宋体" w:hAnsi="宋体" w:eastAsia="宋体" w:cs="宋体"/>
          <w:color w:val="404040"/>
          <w:sz w:val="26"/>
          <w:szCs w:val="26"/>
        </w:rPr>
        <w:t>福建省肿瘤医院</w:t>
      </w:r>
      <w:r>
        <w:rPr>
          <w:rFonts w:hint="eastAsia" w:ascii="宋体" w:hAnsi="宋体" w:eastAsia="宋体" w:cs="宋体"/>
          <w:color w:val="404040"/>
          <w:sz w:val="26"/>
          <w:szCs w:val="26"/>
          <w:lang w:val="en-US" w:eastAsia="zh-CN"/>
        </w:rPr>
        <w:t xml:space="preserve"> </w:t>
      </w:r>
    </w:p>
    <w:p w14:paraId="035735BE">
      <w:pPr>
        <w:adjustRightInd/>
        <w:snapToGrid/>
        <w:spacing w:before="150" w:after="0" w:line="480" w:lineRule="atLeast"/>
        <w:ind w:left="5960" w:leftChars="399" w:hanging="5122" w:hangingChars="1970"/>
        <w:jc w:val="both"/>
        <w:rPr>
          <w:rFonts w:ascii="宋体" w:hAnsi="宋体" w:eastAsia="宋体" w:cs="宋体"/>
          <w:color w:val="404040"/>
          <w:sz w:val="26"/>
          <w:szCs w:val="26"/>
        </w:rPr>
      </w:pPr>
      <w:r>
        <w:rPr>
          <w:rFonts w:hint="eastAsia" w:ascii="宋体" w:hAnsi="宋体" w:eastAsia="宋体" w:cs="宋体"/>
          <w:color w:val="404040"/>
          <w:sz w:val="26"/>
          <w:szCs w:val="26"/>
          <w:lang w:val="en-US" w:eastAsia="zh-CN"/>
        </w:rPr>
        <w:t xml:space="preserve">         </w:t>
      </w:r>
      <w:r>
        <w:rPr>
          <w:rFonts w:hint="eastAsia" w:ascii="宋体" w:hAnsi="宋体" w:cs="宋体"/>
          <w:color w:val="404040"/>
          <w:sz w:val="26"/>
          <w:szCs w:val="26"/>
          <w:lang w:val="en-US" w:eastAsia="zh-CN"/>
        </w:rPr>
        <w:t xml:space="preserve">                                </w:t>
      </w:r>
      <w:r>
        <w:rPr>
          <w:rFonts w:hint="eastAsia" w:ascii="宋体" w:hAnsi="宋体" w:eastAsia="宋体" w:cs="宋体"/>
          <w:color w:val="404040"/>
          <w:sz w:val="26"/>
          <w:szCs w:val="26"/>
        </w:rPr>
        <w:t>202</w:t>
      </w:r>
      <w:r>
        <w:rPr>
          <w:rFonts w:hint="eastAsia" w:ascii="宋体" w:hAnsi="宋体" w:eastAsia="宋体" w:cs="宋体"/>
          <w:color w:val="404040"/>
          <w:sz w:val="26"/>
          <w:szCs w:val="26"/>
          <w:lang w:val="en-US" w:eastAsia="zh-CN"/>
        </w:rPr>
        <w:t>6</w:t>
      </w:r>
      <w:r>
        <w:rPr>
          <w:rFonts w:hint="eastAsia" w:ascii="宋体" w:hAnsi="宋体" w:eastAsia="宋体" w:cs="宋体"/>
          <w:color w:val="404040"/>
          <w:sz w:val="26"/>
          <w:szCs w:val="26"/>
        </w:rPr>
        <w:t>年</w:t>
      </w:r>
      <w:r>
        <w:rPr>
          <w:rFonts w:hint="eastAsia" w:ascii="宋体" w:hAnsi="宋体" w:cs="宋体"/>
          <w:color w:val="404040"/>
          <w:sz w:val="26"/>
          <w:szCs w:val="26"/>
          <w:lang w:val="en-US" w:eastAsia="zh-CN"/>
        </w:rPr>
        <w:t>5</w:t>
      </w:r>
      <w:r>
        <w:rPr>
          <w:rFonts w:hint="eastAsia" w:ascii="宋体" w:hAnsi="宋体" w:eastAsia="宋体" w:cs="宋体"/>
          <w:color w:val="404040"/>
          <w:sz w:val="26"/>
          <w:szCs w:val="26"/>
        </w:rPr>
        <w:t>月</w:t>
      </w:r>
      <w:r>
        <w:rPr>
          <w:rFonts w:hint="eastAsia" w:ascii="宋体" w:hAnsi="宋体" w:cs="宋体"/>
          <w:color w:val="404040"/>
          <w:sz w:val="26"/>
          <w:szCs w:val="26"/>
          <w:lang w:val="en-US" w:eastAsia="zh-CN"/>
        </w:rPr>
        <w:t>19</w:t>
      </w:r>
      <w:r>
        <w:rPr>
          <w:rFonts w:hint="eastAsia" w:ascii="宋体" w:hAnsi="宋体" w:eastAsia="宋体" w:cs="宋体"/>
          <w:color w:val="404040"/>
          <w:sz w:val="26"/>
          <w:szCs w:val="26"/>
        </w:rPr>
        <w:t>日</w:t>
      </w:r>
    </w:p>
    <w:p w14:paraId="60E63086">
      <w:pPr>
        <w:pStyle w:val="14"/>
        <w:jc w:val="left"/>
        <w:rPr>
          <w:rFonts w:ascii="仿宋" w:hAnsi="仿宋" w:eastAsia="仿宋"/>
          <w:b/>
          <w:sz w:val="30"/>
          <w:szCs w:val="30"/>
        </w:rPr>
      </w:pPr>
    </w:p>
    <w:p w14:paraId="392D4B06">
      <w:pPr>
        <w:pStyle w:val="14"/>
        <w:jc w:val="left"/>
        <w:rPr>
          <w:rFonts w:ascii="仿宋" w:hAnsi="仿宋" w:eastAsia="仿宋"/>
          <w:b/>
          <w:sz w:val="30"/>
          <w:szCs w:val="30"/>
        </w:rPr>
      </w:pPr>
    </w:p>
    <w:p w14:paraId="7A7C7908">
      <w:pPr>
        <w:pStyle w:val="14"/>
        <w:jc w:val="left"/>
        <w:rPr>
          <w:rFonts w:ascii="仿宋" w:hAnsi="仿宋" w:eastAsia="仿宋"/>
          <w:b/>
          <w:sz w:val="30"/>
          <w:szCs w:val="30"/>
        </w:rPr>
      </w:pPr>
    </w:p>
    <w:p w14:paraId="78C091AE">
      <w:pPr>
        <w:rPr>
          <w:rFonts w:hAnsi="宋体" w:eastAsia="宋体"/>
          <w:b/>
          <w:sz w:val="30"/>
          <w:szCs w:val="30"/>
        </w:rPr>
      </w:pPr>
      <w:r>
        <w:rPr>
          <w:rFonts w:hAnsi="宋体" w:eastAsia="宋体"/>
          <w:b/>
          <w:sz w:val="30"/>
          <w:szCs w:val="30"/>
        </w:rPr>
        <w:br w:type="page"/>
      </w:r>
    </w:p>
    <w:p w14:paraId="3FD311A9">
      <w:pPr>
        <w:pStyle w:val="14"/>
        <w:rPr>
          <w:rFonts w:hAnsi="宋体" w:eastAsia="宋体"/>
          <w:b/>
          <w:sz w:val="30"/>
          <w:szCs w:val="30"/>
        </w:rPr>
      </w:pPr>
    </w:p>
    <w:p w14:paraId="2018BEBE">
      <w:pPr>
        <w:pStyle w:val="14"/>
        <w:jc w:val="center"/>
        <w:rPr>
          <w:rFonts w:hAnsi="宋体" w:eastAsia="宋体"/>
          <w:b/>
          <w:sz w:val="30"/>
          <w:szCs w:val="30"/>
        </w:rPr>
      </w:pPr>
      <w:r>
        <w:rPr>
          <w:rFonts w:hint="eastAsia" w:hAnsi="宋体" w:eastAsia="宋体"/>
          <w:b/>
          <w:sz w:val="30"/>
          <w:szCs w:val="30"/>
        </w:rPr>
        <w:t>采购内容一览</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03"/>
        <w:gridCol w:w="1756"/>
        <w:gridCol w:w="1141"/>
        <w:gridCol w:w="3034"/>
        <w:gridCol w:w="988"/>
      </w:tblGrid>
      <w:tr w14:paraId="24B61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791B12DA">
            <w:pPr>
              <w:jc w:val="center"/>
              <w:rPr>
                <w:rFonts w:ascii="宋体" w:hAnsi="宋体" w:cs="Arial"/>
                <w:color w:val="000000"/>
                <w:sz w:val="24"/>
              </w:rPr>
            </w:pPr>
            <w:r>
              <w:rPr>
                <w:rFonts w:hint="eastAsia" w:ascii="宋体" w:hAnsi="宋体" w:cs="Arial"/>
                <w:color w:val="000000"/>
                <w:sz w:val="24"/>
              </w:rPr>
              <w:t>项 目 名 称</w:t>
            </w:r>
          </w:p>
        </w:tc>
        <w:tc>
          <w:tcPr>
            <w:tcW w:w="0" w:type="auto"/>
            <w:tcBorders>
              <w:top w:val="single" w:color="000000" w:sz="4" w:space="0"/>
              <w:left w:val="single" w:color="000000" w:sz="4" w:space="0"/>
              <w:bottom w:val="single" w:color="000000" w:sz="4" w:space="0"/>
              <w:right w:val="single" w:color="000000" w:sz="4" w:space="0"/>
            </w:tcBorders>
            <w:vAlign w:val="center"/>
          </w:tcPr>
          <w:p w14:paraId="06F840CD">
            <w:pPr>
              <w:jc w:val="center"/>
              <w:rPr>
                <w:rFonts w:ascii="宋体" w:hAnsi="宋体" w:cs="Arial"/>
                <w:color w:val="000000"/>
                <w:sz w:val="24"/>
              </w:rPr>
            </w:pPr>
            <w:r>
              <w:rPr>
                <w:rFonts w:hint="eastAsia" w:ascii="宋体" w:hAnsi="宋体" w:cs="Arial"/>
                <w:color w:val="000000"/>
                <w:sz w:val="24"/>
              </w:rPr>
              <w:t>主要服务内容及要求</w:t>
            </w:r>
          </w:p>
        </w:tc>
        <w:tc>
          <w:tcPr>
            <w:tcW w:w="0" w:type="auto"/>
            <w:tcBorders>
              <w:top w:val="single" w:color="000000" w:sz="4" w:space="0"/>
              <w:left w:val="single" w:color="000000" w:sz="4" w:space="0"/>
              <w:bottom w:val="single" w:color="000000" w:sz="4" w:space="0"/>
              <w:right w:val="single" w:color="000000" w:sz="4" w:space="0"/>
            </w:tcBorders>
            <w:vAlign w:val="center"/>
          </w:tcPr>
          <w:p w14:paraId="0FB5B403">
            <w:pPr>
              <w:jc w:val="center"/>
              <w:rPr>
                <w:rFonts w:ascii="宋体" w:hAnsi="宋体" w:cs="Arial"/>
                <w:color w:val="000000"/>
                <w:sz w:val="24"/>
              </w:rPr>
            </w:pPr>
            <w:r>
              <w:rPr>
                <w:rFonts w:hint="eastAsia" w:ascii="宋体" w:hAnsi="宋体" w:cs="Arial"/>
                <w:color w:val="000000"/>
                <w:sz w:val="24"/>
              </w:rPr>
              <w:t>评标办法</w:t>
            </w:r>
          </w:p>
        </w:tc>
        <w:tc>
          <w:tcPr>
            <w:tcW w:w="0" w:type="auto"/>
            <w:tcBorders>
              <w:top w:val="single" w:color="000000" w:sz="4" w:space="0"/>
              <w:left w:val="single" w:color="000000" w:sz="4" w:space="0"/>
              <w:bottom w:val="single" w:color="000000" w:sz="4" w:space="0"/>
              <w:right w:val="single" w:color="000000" w:sz="4" w:space="0"/>
            </w:tcBorders>
            <w:vAlign w:val="center"/>
          </w:tcPr>
          <w:p w14:paraId="5BEF52BA">
            <w:pPr>
              <w:jc w:val="center"/>
              <w:rPr>
                <w:rFonts w:hint="eastAsia" w:ascii="宋体" w:hAnsi="宋体" w:eastAsia="宋体" w:cs="Arial"/>
                <w:color w:val="000000"/>
                <w:sz w:val="24"/>
                <w:lang w:eastAsia="zh-CN"/>
              </w:rPr>
            </w:pPr>
            <w:r>
              <w:rPr>
                <w:rStyle w:val="22"/>
                <w:rFonts w:ascii="宋体" w:hAnsi="宋体" w:eastAsia="宋体" w:cs="宋体"/>
                <w:b w:val="0"/>
                <w:bCs w:val="0"/>
                <w:color w:val="000000"/>
                <w:sz w:val="24"/>
                <w:szCs w:val="24"/>
              </w:rPr>
              <w:t>综合管理服务费</w:t>
            </w:r>
            <w:r>
              <w:rPr>
                <w:rStyle w:val="22"/>
                <w:rFonts w:hint="eastAsia" w:ascii="宋体" w:hAnsi="宋体" w:eastAsia="宋体" w:cs="宋体"/>
                <w:b w:val="0"/>
                <w:bCs w:val="0"/>
                <w:color w:val="000000"/>
                <w:sz w:val="24"/>
                <w:szCs w:val="24"/>
                <w:lang w:val="en-US" w:eastAsia="zh-CN"/>
              </w:rPr>
              <w:t>最低限价</w:t>
            </w:r>
            <w:r>
              <w:rPr>
                <w:rFonts w:hint="eastAsia" w:ascii="宋体" w:hAnsi="宋体" w:cs="Arial"/>
                <w:color w:val="000000"/>
                <w:sz w:val="24"/>
                <w:lang w:eastAsia="zh-CN"/>
              </w:rPr>
              <w:t>（</w:t>
            </w:r>
            <w:r>
              <w:rPr>
                <w:rFonts w:hint="eastAsia" w:ascii="宋体" w:hAnsi="宋体" w:cs="Arial"/>
                <w:color w:val="000000"/>
                <w:sz w:val="24"/>
                <w:lang w:val="en-US" w:eastAsia="zh-CN"/>
              </w:rPr>
              <w:t>元</w:t>
            </w:r>
            <w:r>
              <w:rPr>
                <w:rFonts w:hint="eastAsia" w:ascii="宋体" w:hAnsi="宋体" w:cs="Arial"/>
                <w:sz w:val="24"/>
              </w:rPr>
              <w:t>/</w:t>
            </w:r>
            <w:r>
              <w:rPr>
                <w:rFonts w:hint="eastAsia" w:ascii="宋体" w:hAnsi="宋体" w:cs="Arial"/>
                <w:color w:val="000000"/>
                <w:sz w:val="24"/>
                <w:lang w:val="en-US" w:eastAsia="zh-CN"/>
              </w:rPr>
              <w:t>每年</w:t>
            </w:r>
            <w:r>
              <w:rPr>
                <w:rFonts w:hint="eastAsia" w:ascii="宋体" w:hAnsi="宋体" w:cs="Arial"/>
                <w:color w:val="000000"/>
                <w:sz w:val="24"/>
                <w:lang w:eastAsia="zh-CN"/>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69527806">
            <w:pPr>
              <w:jc w:val="center"/>
              <w:rPr>
                <w:rFonts w:hint="eastAsia" w:ascii="宋体" w:hAnsi="宋体" w:eastAsia="宋体" w:cs="Arial"/>
                <w:color w:val="000000"/>
                <w:sz w:val="24"/>
                <w:lang w:val="en-US" w:eastAsia="zh-CN"/>
              </w:rPr>
            </w:pPr>
            <w:r>
              <w:rPr>
                <w:rFonts w:hint="eastAsia" w:ascii="宋体" w:hAnsi="宋体" w:cs="Arial"/>
                <w:color w:val="000000"/>
                <w:sz w:val="24"/>
              </w:rPr>
              <w:t>服务期限</w:t>
            </w:r>
          </w:p>
        </w:tc>
      </w:tr>
      <w:tr w14:paraId="1BF4F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8"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557BB7C">
            <w:pPr>
              <w:spacing w:line="360" w:lineRule="exact"/>
              <w:jc w:val="center"/>
              <w:rPr>
                <w:rFonts w:ascii="宋体" w:hAnsi="宋体" w:cs="Arial"/>
                <w:sz w:val="24"/>
              </w:rPr>
            </w:pPr>
            <w:r>
              <w:rPr>
                <w:rFonts w:hint="eastAsia" w:ascii="宋体" w:hAnsi="宋体" w:cs="Arial"/>
                <w:sz w:val="24"/>
              </w:rPr>
              <w:t>快递驿站</w:t>
            </w:r>
            <w:r>
              <w:rPr>
                <w:rFonts w:hint="eastAsia" w:ascii="宋体" w:hAnsi="宋体" w:cs="Arial"/>
                <w:sz w:val="24"/>
                <w:lang w:val="en-US" w:eastAsia="zh-CN"/>
              </w:rPr>
              <w:t>服务</w:t>
            </w:r>
            <w:r>
              <w:rPr>
                <w:rFonts w:hint="eastAsia" w:ascii="宋体" w:hAnsi="宋体" w:cs="Arial"/>
                <w:sz w:val="24"/>
              </w:rPr>
              <w:t>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32C5C49A">
            <w:pPr>
              <w:spacing w:line="360" w:lineRule="exact"/>
              <w:jc w:val="center"/>
              <w:rPr>
                <w:rFonts w:ascii="宋体" w:hAnsi="宋体" w:cs="Arial"/>
                <w:sz w:val="24"/>
              </w:rPr>
            </w:pPr>
            <w:r>
              <w:rPr>
                <w:rFonts w:hint="eastAsia" w:ascii="宋体" w:hAnsi="宋体" w:cs="Arial"/>
                <w:sz w:val="24"/>
              </w:rPr>
              <w:t>见附件</w:t>
            </w:r>
          </w:p>
        </w:tc>
        <w:tc>
          <w:tcPr>
            <w:tcW w:w="0" w:type="auto"/>
            <w:tcBorders>
              <w:top w:val="single" w:color="000000" w:sz="4" w:space="0"/>
              <w:left w:val="single" w:color="000000" w:sz="4" w:space="0"/>
              <w:bottom w:val="single" w:color="000000" w:sz="4" w:space="0"/>
              <w:right w:val="single" w:color="000000" w:sz="4" w:space="0"/>
            </w:tcBorders>
            <w:vAlign w:val="center"/>
          </w:tcPr>
          <w:p w14:paraId="194F01AF">
            <w:pPr>
              <w:spacing w:line="360" w:lineRule="exact"/>
              <w:jc w:val="center"/>
              <w:rPr>
                <w:rFonts w:ascii="宋体" w:hAnsi="宋体" w:cs="Arial"/>
                <w:sz w:val="24"/>
              </w:rPr>
            </w:pPr>
            <w:r>
              <w:rPr>
                <w:rFonts w:hint="eastAsia" w:ascii="宋体" w:hAnsi="宋体" w:cs="Arial"/>
                <w:sz w:val="24"/>
              </w:rPr>
              <w:t>综合评分法</w:t>
            </w:r>
          </w:p>
        </w:tc>
        <w:tc>
          <w:tcPr>
            <w:tcW w:w="0" w:type="auto"/>
            <w:tcBorders>
              <w:top w:val="single" w:color="000000" w:sz="4" w:space="0"/>
              <w:left w:val="single" w:color="000000" w:sz="4" w:space="0"/>
              <w:bottom w:val="single" w:color="000000" w:sz="4" w:space="0"/>
              <w:right w:val="single" w:color="000000" w:sz="4" w:space="0"/>
            </w:tcBorders>
            <w:vAlign w:val="center"/>
          </w:tcPr>
          <w:p w14:paraId="558CF2D0">
            <w:pPr>
              <w:spacing w:line="360" w:lineRule="exact"/>
              <w:jc w:val="center"/>
              <w:rPr>
                <w:rFonts w:hint="default" w:ascii="宋体" w:hAnsi="宋体" w:eastAsia="宋体" w:cs="Arial"/>
                <w:sz w:val="24"/>
                <w:lang w:val="en-US" w:eastAsia="zh-CN"/>
              </w:rPr>
            </w:pPr>
            <w:r>
              <w:rPr>
                <w:rFonts w:hint="eastAsia" w:ascii="宋体" w:hAnsi="宋体" w:cs="Arial"/>
                <w:sz w:val="24"/>
                <w:lang w:val="en-US" w:eastAsia="zh-CN"/>
              </w:rPr>
              <w:t>1200</w:t>
            </w:r>
          </w:p>
        </w:tc>
        <w:tc>
          <w:tcPr>
            <w:tcW w:w="0" w:type="auto"/>
            <w:tcBorders>
              <w:top w:val="single" w:color="000000" w:sz="4" w:space="0"/>
              <w:left w:val="single" w:color="000000" w:sz="4" w:space="0"/>
              <w:bottom w:val="single" w:color="000000" w:sz="4" w:space="0"/>
              <w:right w:val="single" w:color="000000" w:sz="4" w:space="0"/>
            </w:tcBorders>
            <w:vAlign w:val="center"/>
          </w:tcPr>
          <w:p w14:paraId="5308DCA2">
            <w:pPr>
              <w:spacing w:line="360" w:lineRule="exact"/>
              <w:jc w:val="center"/>
              <w:rPr>
                <w:rFonts w:hint="default" w:ascii="宋体" w:hAnsi="宋体" w:eastAsia="宋体" w:cs="Arial"/>
                <w:sz w:val="24"/>
                <w:lang w:val="en-US" w:eastAsia="zh-CN"/>
              </w:rPr>
            </w:pPr>
            <w:r>
              <w:rPr>
                <w:rFonts w:hint="eastAsia" w:ascii="宋体" w:hAnsi="宋体" w:cs="Arial"/>
                <w:sz w:val="24"/>
              </w:rPr>
              <w:t>3年</w:t>
            </w:r>
          </w:p>
        </w:tc>
      </w:tr>
      <w:tr w14:paraId="25407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4" w:hRule="atLeast"/>
          <w:jc w:val="center"/>
        </w:trPr>
        <w:tc>
          <w:tcPr>
            <w:tcW w:w="0" w:type="auto"/>
            <w:gridSpan w:val="5"/>
            <w:tcBorders>
              <w:top w:val="single" w:color="000000" w:sz="4" w:space="0"/>
              <w:left w:val="single" w:color="000000" w:sz="4" w:space="0"/>
              <w:bottom w:val="single" w:color="000000" w:sz="4" w:space="0"/>
              <w:right w:val="single" w:color="000000" w:sz="4" w:space="0"/>
            </w:tcBorders>
            <w:vAlign w:val="center"/>
          </w:tcPr>
          <w:p w14:paraId="401A799C">
            <w:pPr>
              <w:spacing w:line="360" w:lineRule="exact"/>
              <w:jc w:val="left"/>
              <w:rPr>
                <w:rFonts w:ascii="宋体" w:hAnsi="宋体" w:cs="Arial"/>
                <w:sz w:val="24"/>
              </w:rPr>
            </w:pPr>
            <w:r>
              <w:rPr>
                <w:rFonts w:hint="eastAsia" w:ascii="宋体" w:hAnsi="宋体" w:cs="Arial"/>
                <w:sz w:val="24"/>
              </w:rPr>
              <w:t>备注：</w:t>
            </w:r>
          </w:p>
          <w:p w14:paraId="107E31D0">
            <w:pPr>
              <w:numPr>
                <w:ilvl w:val="0"/>
                <w:numId w:val="9"/>
              </w:numPr>
              <w:spacing w:line="360" w:lineRule="exact"/>
              <w:ind w:left="425" w:leftChars="0" w:hanging="425" w:firstLineChars="0"/>
              <w:jc w:val="left"/>
              <w:rPr>
                <w:rFonts w:hint="eastAsia" w:ascii="宋体" w:hAnsi="宋体" w:cs="Arial"/>
                <w:sz w:val="24"/>
              </w:rPr>
            </w:pPr>
            <w:r>
              <w:rPr>
                <w:rFonts w:hint="eastAsia" w:ascii="宋体" w:hAnsi="宋体" w:cs="Arial"/>
                <w:sz w:val="24"/>
              </w:rPr>
              <w:t>报价涵盖管理费电费等综合费用，1年1付，中标人在合同签订后10个工作日内，上交第一年度综合管理费，以此类推；</w:t>
            </w:r>
          </w:p>
          <w:p w14:paraId="4066F55E">
            <w:pPr>
              <w:numPr>
                <w:ilvl w:val="0"/>
                <w:numId w:val="9"/>
              </w:numPr>
              <w:spacing w:line="360" w:lineRule="exact"/>
              <w:ind w:left="425" w:leftChars="0" w:hanging="425" w:firstLineChars="0"/>
              <w:jc w:val="left"/>
              <w:rPr>
                <w:rFonts w:hint="eastAsia" w:ascii="宋体" w:hAnsi="宋体" w:cs="Arial"/>
                <w:sz w:val="24"/>
              </w:rPr>
            </w:pPr>
            <w:r>
              <w:rPr>
                <w:rFonts w:ascii="宋体" w:hAnsi="宋体" w:eastAsia="宋体" w:cs="宋体"/>
                <w:sz w:val="24"/>
                <w:szCs w:val="24"/>
              </w:rPr>
              <w:t>合作模式：由中标服务</w:t>
            </w:r>
            <w:r>
              <w:rPr>
                <w:rFonts w:ascii="宋体" w:hAnsi="宋体" w:eastAsia="宋体" w:cs="宋体"/>
                <w:b w:val="0"/>
                <w:bCs w:val="0"/>
                <w:sz w:val="24"/>
                <w:szCs w:val="24"/>
              </w:rPr>
              <w:t>商</w:t>
            </w:r>
            <w:r>
              <w:rPr>
                <w:rStyle w:val="22"/>
                <w:rFonts w:ascii="宋体" w:hAnsi="宋体" w:eastAsia="宋体" w:cs="宋体"/>
                <w:b w:val="0"/>
                <w:bCs w:val="0"/>
                <w:color w:val="000000"/>
                <w:sz w:val="24"/>
                <w:szCs w:val="24"/>
              </w:rPr>
              <w:t>全额投资、自主经营、自负盈亏</w:t>
            </w:r>
            <w:r>
              <w:rPr>
                <w:rFonts w:ascii="宋体" w:hAnsi="宋体" w:eastAsia="宋体" w:cs="宋体"/>
                <w:b w:val="0"/>
                <w:bCs w:val="0"/>
                <w:sz w:val="24"/>
                <w:szCs w:val="24"/>
              </w:rPr>
              <w:t>；医院提供场地、水电接入、秩序协调等支持，并收取相应</w:t>
            </w:r>
            <w:r>
              <w:rPr>
                <w:rStyle w:val="22"/>
                <w:rFonts w:ascii="宋体" w:hAnsi="宋体" w:eastAsia="宋体" w:cs="宋体"/>
                <w:b w:val="0"/>
                <w:bCs w:val="0"/>
                <w:color w:val="000000"/>
                <w:sz w:val="24"/>
                <w:szCs w:val="24"/>
              </w:rPr>
              <w:t>综合管理服务费</w:t>
            </w:r>
            <w:r>
              <w:rPr>
                <w:rFonts w:ascii="宋体" w:hAnsi="宋体" w:eastAsia="宋体" w:cs="宋体"/>
                <w:b w:val="0"/>
                <w:bCs w:val="0"/>
                <w:sz w:val="24"/>
                <w:szCs w:val="24"/>
              </w:rPr>
              <w:t>。</w:t>
            </w:r>
          </w:p>
          <w:p w14:paraId="07C4D5F9">
            <w:pPr>
              <w:numPr>
                <w:ilvl w:val="0"/>
                <w:numId w:val="9"/>
              </w:numPr>
              <w:spacing w:line="360" w:lineRule="exact"/>
              <w:ind w:left="425" w:leftChars="0" w:hanging="425" w:firstLineChars="0"/>
              <w:jc w:val="left"/>
              <w:rPr>
                <w:rFonts w:hint="eastAsia" w:ascii="宋体" w:hAnsi="宋体" w:cs="Arial"/>
                <w:sz w:val="24"/>
              </w:rPr>
            </w:pPr>
            <w:r>
              <w:rPr>
                <w:rFonts w:ascii="宋体" w:hAnsi="宋体" w:eastAsia="宋体" w:cs="宋体"/>
                <w:sz w:val="24"/>
                <w:szCs w:val="24"/>
              </w:rPr>
              <w:t>提供指定区域用于开展服务</w:t>
            </w:r>
            <w:r>
              <w:rPr>
                <w:rFonts w:hint="eastAsia" w:ascii="宋体" w:hAnsi="宋体" w:eastAsia="宋体" w:cs="宋体"/>
                <w:sz w:val="24"/>
                <w:szCs w:val="24"/>
                <w:lang w:eastAsia="zh-CN"/>
              </w:rPr>
              <w:t>。</w:t>
            </w:r>
          </w:p>
        </w:tc>
      </w:tr>
    </w:tbl>
    <w:p w14:paraId="6E65C43F">
      <w:pPr>
        <w:spacing w:line="400" w:lineRule="exact"/>
        <w:rPr>
          <w:rFonts w:ascii="宋体" w:hAnsi="宋体" w:cs="Times New Roman"/>
          <w:sz w:val="24"/>
        </w:rPr>
      </w:pPr>
    </w:p>
    <w:p w14:paraId="5743A12B"/>
    <w:p w14:paraId="2658BBEC"/>
    <w:p w14:paraId="447A2434"/>
    <w:p w14:paraId="74DEBE54"/>
    <w:p w14:paraId="36DA9712"/>
    <w:p w14:paraId="6C888D04"/>
    <w:p w14:paraId="0A7567B7"/>
    <w:p w14:paraId="162ED7A7"/>
    <w:p w14:paraId="188ED2CC">
      <w:pPr>
        <w:pStyle w:val="11"/>
      </w:pPr>
    </w:p>
    <w:p w14:paraId="63AF29B2">
      <w:pPr>
        <w:pStyle w:val="11"/>
      </w:pPr>
    </w:p>
    <w:p w14:paraId="1E3CFD05">
      <w:pPr>
        <w:pStyle w:val="11"/>
      </w:pPr>
    </w:p>
    <w:p w14:paraId="32581CEB">
      <w:pPr>
        <w:pStyle w:val="11"/>
      </w:pPr>
    </w:p>
    <w:p w14:paraId="5C110115">
      <w:pPr>
        <w:pStyle w:val="11"/>
      </w:pPr>
    </w:p>
    <w:p w14:paraId="29EBD118">
      <w:pPr>
        <w:pStyle w:val="11"/>
      </w:pPr>
    </w:p>
    <w:p w14:paraId="68B50B00">
      <w:pPr>
        <w:pStyle w:val="11"/>
      </w:pPr>
    </w:p>
    <w:p w14:paraId="3B0C927C">
      <w:pPr>
        <w:pStyle w:val="11"/>
      </w:pPr>
    </w:p>
    <w:p w14:paraId="1EEC39E3">
      <w:pPr>
        <w:pStyle w:val="11"/>
      </w:pPr>
    </w:p>
    <w:p w14:paraId="1766A95D">
      <w:pPr>
        <w:pStyle w:val="11"/>
      </w:pPr>
    </w:p>
    <w:p w14:paraId="455566BA">
      <w:pPr>
        <w:pStyle w:val="11"/>
      </w:pPr>
    </w:p>
    <w:p w14:paraId="0C8F9209">
      <w:pPr>
        <w:pStyle w:val="11"/>
      </w:pPr>
    </w:p>
    <w:p w14:paraId="765F9308"/>
    <w:p w14:paraId="6E619411">
      <w:pPr>
        <w:pStyle w:val="11"/>
      </w:pPr>
    </w:p>
    <w:p w14:paraId="4C5B06E5">
      <w:pPr>
        <w:jc w:val="left"/>
        <w:rPr>
          <w:rFonts w:hint="eastAsia"/>
          <w:b/>
          <w:sz w:val="28"/>
          <w:szCs w:val="28"/>
        </w:rPr>
      </w:pPr>
    </w:p>
    <w:p w14:paraId="10F61427">
      <w:pPr>
        <w:jc w:val="left"/>
        <w:rPr>
          <w:b/>
          <w:sz w:val="28"/>
          <w:szCs w:val="28"/>
        </w:rPr>
      </w:pPr>
      <w:r>
        <w:rPr>
          <w:rFonts w:hint="eastAsia"/>
          <w:b/>
          <w:sz w:val="28"/>
          <w:szCs w:val="28"/>
        </w:rPr>
        <w:t>附件：</w:t>
      </w:r>
    </w:p>
    <w:p w14:paraId="00970D11">
      <w:pPr>
        <w:widowControl/>
        <w:spacing w:line="360" w:lineRule="atLeast"/>
        <w:jc w:val="left"/>
        <w:rPr>
          <w:rFonts w:ascii="宋体" w:hAnsi="宋体" w:cs="Arial"/>
          <w:sz w:val="24"/>
        </w:rPr>
      </w:pPr>
      <w:r>
        <w:rPr>
          <w:rFonts w:hint="eastAsia" w:ascii="宋体" w:hAnsi="宋体" w:cs="Arial"/>
          <w:sz w:val="24"/>
        </w:rPr>
        <w:t>一、服务内容及要求</w:t>
      </w:r>
    </w:p>
    <w:p w14:paraId="15CD46F2">
      <w:pPr>
        <w:pageBreakBefore w:val="0"/>
        <w:numPr>
          <w:ilvl w:val="0"/>
          <w:numId w:val="10"/>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bookmarkStart w:id="0" w:name="_Toc9163"/>
      <w:bookmarkStart w:id="1" w:name="_Toc20113"/>
      <w:r>
        <w:rPr>
          <w:rFonts w:ascii="宋体" w:hAnsi="宋体" w:eastAsia="宋体" w:cs="宋体"/>
          <w:sz w:val="24"/>
          <w:szCs w:val="24"/>
        </w:rPr>
        <w:t>本项目主要为院内提供快递代收、寄存、分拣、寄递等快递综合便民服务。合作期间，采购人可根据院区便民服务规划及实际运营需要，后续适时增设取餐柜、智能寄存柜等同类便民智能设施设备，中标人须无条件配合完成对接、运营、日常维护及现场管理，相关配套服务不再另行增加费用，中标人须完全服从采购人统一管理要求。</w:t>
      </w:r>
    </w:p>
    <w:p w14:paraId="783704F4">
      <w:pPr>
        <w:pageBreakBefore w:val="0"/>
        <w:numPr>
          <w:ilvl w:val="0"/>
          <w:numId w:val="10"/>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不影响采购人正常开展医疗业务。</w:t>
      </w:r>
    </w:p>
    <w:p w14:paraId="5ECDDB26">
      <w:pPr>
        <w:pageBreakBefore w:val="0"/>
        <w:numPr>
          <w:ilvl w:val="0"/>
          <w:numId w:val="10"/>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具备独立承担经营活动中所产生的债权债务以及工商、物价、税收、安全等方面的法律责任。</w:t>
      </w:r>
    </w:p>
    <w:p w14:paraId="591225D0">
      <w:pPr>
        <w:pageBreakBefore w:val="0"/>
        <w:numPr>
          <w:ilvl w:val="0"/>
          <w:numId w:val="10"/>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必须遵守国家相关法律法规，遵守采购</w:t>
      </w:r>
      <w:bookmarkStart w:id="2" w:name="_GoBack"/>
      <w:bookmarkEnd w:id="2"/>
      <w:r>
        <w:rPr>
          <w:rFonts w:hint="eastAsia" w:ascii="宋体" w:hAnsi="宋体" w:eastAsia="宋体" w:cs="宋体"/>
          <w:color w:val="auto"/>
          <w:sz w:val="24"/>
          <w:szCs w:val="24"/>
          <w:highlight w:val="none"/>
          <w:lang w:val="en-US" w:eastAsia="zh-CN"/>
        </w:rPr>
        <w:t>人相关规章制度的有关规定。在院内的经营等活动服从采购人管理部门的管理。</w:t>
      </w:r>
    </w:p>
    <w:p w14:paraId="4526AF49">
      <w:pPr>
        <w:pageBreakBefore w:val="0"/>
        <w:numPr>
          <w:ilvl w:val="0"/>
          <w:numId w:val="10"/>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服务网点的监控、电路、装修均由</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负责，规划设计方案应报采购人审核同意后才能组织施工，不得随意拆建、改建或破坏改变现有的房屋主体结构、外墙以及管道设施，场地规划必须符合服务方便，操作流程规范，消防安全符合规范要求。设备、设施由</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自行配置。合同期满后</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的装修即与</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无关，不得向采购人提出任何费用补偿要求。若采购人要求拆除的，</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应无条件恢复原貌。</w:t>
      </w:r>
    </w:p>
    <w:p w14:paraId="37832963">
      <w:pPr>
        <w:pageBreakBefore w:val="0"/>
        <w:numPr>
          <w:ilvl w:val="0"/>
          <w:numId w:val="10"/>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快递驿站</w:t>
      </w:r>
      <w:r>
        <w:rPr>
          <w:rFonts w:hint="eastAsia" w:ascii="宋体" w:hAnsi="宋体" w:eastAsia="宋体" w:cs="宋体"/>
          <w:color w:val="auto"/>
          <w:sz w:val="24"/>
          <w:szCs w:val="24"/>
          <w:highlight w:val="none"/>
          <w:lang w:val="en-US" w:eastAsia="zh-CN"/>
        </w:rPr>
        <w:t>范围内的水电管线、灯具、插座、开关、龙头阀门、门窗玻璃、墙面等设施设备均由</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使用及维修。</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在采购人提供场地表面进行非破坏性装修装饰，不得影响房屋主体，装修、使用过程中产生的任何不可修复性的破坏按照市场价赔偿，如有造成危害的承担应相应后果。</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应承担防火、防盗等各责任，做好门前“三包”。如发生意外，全部责任由</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承担。</w:t>
      </w:r>
    </w:p>
    <w:p w14:paraId="7BDA5B9F">
      <w:pPr>
        <w:pageBreakBefore w:val="0"/>
        <w:numPr>
          <w:ilvl w:val="0"/>
          <w:numId w:val="10"/>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义务：</w:t>
      </w:r>
    </w:p>
    <w:p w14:paraId="4F025D56">
      <w:pPr>
        <w:pageBreakBefore w:val="0"/>
        <w:numPr>
          <w:ilvl w:val="0"/>
          <w:numId w:val="11"/>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zh-CN" w:eastAsia="zh-CN"/>
        </w:rPr>
        <w:t>在开始运营30个工作日内办理快递网点相关手续及备案。</w:t>
      </w:r>
    </w:p>
    <w:p w14:paraId="25B15CC7">
      <w:pPr>
        <w:pageBreakBefore w:val="0"/>
        <w:numPr>
          <w:ilvl w:val="0"/>
          <w:numId w:val="11"/>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需提交</w:t>
      </w:r>
      <w:r>
        <w:rPr>
          <w:rFonts w:hint="eastAsia" w:ascii="宋体" w:hAnsi="宋体" w:cs="宋体"/>
          <w:color w:val="auto"/>
          <w:sz w:val="24"/>
          <w:szCs w:val="24"/>
          <w:highlight w:val="none"/>
          <w:lang w:val="en-US" w:eastAsia="zh-CN"/>
        </w:rPr>
        <w:t>包含但不限于</w:t>
      </w:r>
      <w:r>
        <w:rPr>
          <w:rFonts w:hint="eastAsia" w:ascii="宋体" w:hAnsi="宋体" w:eastAsia="宋体" w:cs="宋体"/>
          <w:color w:val="auto"/>
          <w:sz w:val="24"/>
          <w:szCs w:val="24"/>
          <w:highlight w:val="none"/>
          <w:lang w:val="zh-CN" w:eastAsia="zh-CN"/>
        </w:rPr>
        <w:t>运输过程、消防、防雷、防爆、防盗等安全承诺书，如发生安全事故</w:t>
      </w:r>
      <w:r>
        <w:rPr>
          <w:rFonts w:hint="eastAsia" w:ascii="宋体" w:hAnsi="宋体" w:cs="宋体"/>
          <w:color w:val="auto"/>
          <w:sz w:val="24"/>
          <w:szCs w:val="24"/>
          <w:highlight w:val="none"/>
          <w:lang w:val="zh-CN" w:eastAsia="zh-CN"/>
        </w:rPr>
        <w:t>中标人</w:t>
      </w:r>
      <w:r>
        <w:rPr>
          <w:rFonts w:hint="eastAsia" w:ascii="宋体" w:hAnsi="宋体" w:eastAsia="宋体" w:cs="宋体"/>
          <w:color w:val="auto"/>
          <w:sz w:val="24"/>
          <w:szCs w:val="24"/>
          <w:highlight w:val="none"/>
          <w:lang w:val="zh-CN" w:eastAsia="zh-CN"/>
        </w:rPr>
        <w:t>自行负责，采购人不承担连带责任。</w:t>
      </w:r>
    </w:p>
    <w:p w14:paraId="51724E2C">
      <w:pPr>
        <w:pageBreakBefore w:val="0"/>
        <w:numPr>
          <w:ilvl w:val="0"/>
          <w:numId w:val="11"/>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在日常的运行中必需根据</w:t>
      </w:r>
      <w:r>
        <w:rPr>
          <w:rFonts w:hint="eastAsia" w:ascii="宋体" w:hAnsi="宋体" w:cs="宋体"/>
          <w:color w:val="auto"/>
          <w:sz w:val="24"/>
          <w:szCs w:val="24"/>
          <w:highlight w:val="none"/>
          <w:lang w:val="en-US" w:eastAsia="zh-CN"/>
        </w:rPr>
        <w:t>相关的快递实施标准实施</w:t>
      </w:r>
      <w:r>
        <w:rPr>
          <w:rFonts w:hint="eastAsia" w:ascii="宋体" w:hAnsi="宋体" w:eastAsia="宋体" w:cs="宋体"/>
          <w:color w:val="auto"/>
          <w:sz w:val="24"/>
          <w:szCs w:val="24"/>
          <w:highlight w:val="none"/>
          <w:lang w:val="en-US" w:eastAsia="zh-CN"/>
        </w:rPr>
        <w:t>。</w:t>
      </w:r>
    </w:p>
    <w:p w14:paraId="6A79FB4D">
      <w:pPr>
        <w:pageBreakBefore w:val="0"/>
        <w:numPr>
          <w:ilvl w:val="0"/>
          <w:numId w:val="11"/>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服从采购人管理，在规定项目和范围内开展经营活动，不得擅自扩大或变更经营范围和种类，不得随意自行停业。</w:t>
      </w:r>
    </w:p>
    <w:p w14:paraId="2060BADF">
      <w:pPr>
        <w:pageBreakBefore w:val="0"/>
        <w:numPr>
          <w:ilvl w:val="0"/>
          <w:numId w:val="11"/>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具备完善的符合行业标准的卫生、安全等各方面管理制度，并与采购人签订安全承诺书。</w:t>
      </w:r>
    </w:p>
    <w:p w14:paraId="2685917D">
      <w:pPr>
        <w:pageBreakBefore w:val="0"/>
        <w:numPr>
          <w:ilvl w:val="0"/>
          <w:numId w:val="11"/>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szCs w:val="24"/>
          <w:highlight w:val="none"/>
          <w:lang w:val="en-US" w:eastAsia="zh-CN"/>
        </w:rPr>
        <w:t>中标人服务</w:t>
      </w:r>
      <w:r>
        <w:rPr>
          <w:rFonts w:hint="eastAsia" w:ascii="宋体" w:hAnsi="宋体" w:eastAsia="宋体" w:cs="宋体"/>
          <w:color w:val="auto"/>
          <w:sz w:val="24"/>
          <w:szCs w:val="24"/>
          <w:highlight w:val="none"/>
          <w:lang w:val="en-US" w:eastAsia="zh-CN"/>
        </w:rPr>
        <w:t>期间，有发生被投诉的，</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应积极妥善处理投诉，经采购人查实未妥善处理的影响采购人名誉的，采购人有权视情节严重程度对</w:t>
      </w:r>
      <w:r>
        <w:rPr>
          <w:rFonts w:hint="eastAsia" w:ascii="宋体" w:hAnsi="宋体" w:cs="宋体"/>
          <w:color w:val="auto"/>
          <w:sz w:val="24"/>
          <w:szCs w:val="24"/>
          <w:highlight w:val="none"/>
          <w:lang w:val="en-US" w:eastAsia="zh-CN"/>
        </w:rPr>
        <w:t>中标人</w:t>
      </w:r>
      <w:r>
        <w:rPr>
          <w:rFonts w:hint="eastAsia" w:ascii="宋体" w:hAnsi="宋体" w:eastAsia="宋体" w:cs="宋体"/>
          <w:color w:val="auto"/>
          <w:sz w:val="24"/>
          <w:szCs w:val="24"/>
          <w:highlight w:val="none"/>
          <w:lang w:val="en-US" w:eastAsia="zh-CN"/>
        </w:rPr>
        <w:t>进行经济</w:t>
      </w:r>
      <w:r>
        <w:rPr>
          <w:rFonts w:hint="eastAsia" w:ascii="宋体" w:hAnsi="宋体" w:cs="宋体"/>
          <w:color w:val="auto"/>
          <w:sz w:val="24"/>
          <w:szCs w:val="24"/>
          <w:highlight w:val="none"/>
          <w:lang w:val="en-US" w:eastAsia="zh-CN"/>
        </w:rPr>
        <w:t>处罚</w:t>
      </w:r>
      <w:r>
        <w:rPr>
          <w:rFonts w:hint="eastAsia" w:ascii="宋体" w:hAnsi="宋体" w:eastAsia="宋体" w:cs="宋体"/>
          <w:color w:val="auto"/>
          <w:sz w:val="24"/>
          <w:szCs w:val="24"/>
          <w:highlight w:val="none"/>
          <w:lang w:val="en-US" w:eastAsia="zh-CN"/>
        </w:rPr>
        <w:t>。</w:t>
      </w:r>
    </w:p>
    <w:p w14:paraId="311A211E">
      <w:pPr>
        <w:pageBreakBefore w:val="0"/>
        <w:numPr>
          <w:ilvl w:val="0"/>
          <w:numId w:val="11"/>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eastAsia="zh-CN" w:bidi="ar-SA"/>
        </w:rPr>
        <w:t>由于采购人工作的特殊性，要求驿站24小时全天候开放，其中9：00—18：00为有专人值守时段，其余时段采用自动出库仪、自助寄件等设备实现无人收寄功能。</w:t>
      </w:r>
    </w:p>
    <w:p w14:paraId="5C18F50A">
      <w:pPr>
        <w:pageBreakBefore w:val="0"/>
        <w:numPr>
          <w:ilvl w:val="0"/>
          <w:numId w:val="11"/>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bidi="ar-SA"/>
        </w:rPr>
        <w:t>中标人</w:t>
      </w:r>
      <w:r>
        <w:rPr>
          <w:rFonts w:hint="eastAsia" w:ascii="宋体" w:hAnsi="宋体" w:eastAsia="宋体" w:cs="宋体"/>
          <w:color w:val="auto"/>
          <w:sz w:val="24"/>
          <w:szCs w:val="24"/>
          <w:highlight w:val="none"/>
          <w:lang w:val="en-US" w:eastAsia="zh-CN" w:bidi="ar-SA"/>
        </w:rPr>
        <w:t>在服务区域必须安装充足的监控设备，实现360°监控无死角，监控天数能够存储30天以上，实时监控服务动态，对出现异常情况及时反应，确保快件的安全。同时需确保场地的消防安全，制定应急措施、安全管理制度，配备烟雾报警器、紧急报警系统等消防设施，加强员工的安全教育。</w:t>
      </w:r>
    </w:p>
    <w:p w14:paraId="7C2C181B">
      <w:pPr>
        <w:pageBreakBefore w:val="0"/>
        <w:numPr>
          <w:ilvl w:val="0"/>
          <w:numId w:val="11"/>
        </w:numPr>
        <w:kinsoku/>
        <w:wordWrap/>
        <w:overflowPunct/>
        <w:topLinePunct w:val="0"/>
        <w:autoSpaceDE/>
        <w:autoSpaceDN/>
        <w:bidi w:val="0"/>
        <w:snapToGrid/>
        <w:spacing w:line="480" w:lineRule="exact"/>
        <w:ind w:left="425" w:leftChars="0" w:hanging="425" w:firstLine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中标人</w:t>
      </w:r>
      <w:r>
        <w:rPr>
          <w:rFonts w:hint="eastAsia" w:ascii="宋体" w:hAnsi="宋体" w:eastAsia="宋体" w:cs="宋体"/>
          <w:color w:val="auto"/>
          <w:kern w:val="2"/>
          <w:sz w:val="24"/>
          <w:szCs w:val="24"/>
          <w:highlight w:val="none"/>
          <w:lang w:val="en-US" w:eastAsia="zh-CN" w:bidi="ar-SA"/>
        </w:rPr>
        <w:t>的驻点人员应须在合同签订后15个工作日内向采购人报备花名册，须包含以下内容：姓名、性别、年龄、籍贯、身份证复印件、无犯罪证明。后续更换或新录用员工，均应在15个工作日内提交以上材料。</w:t>
      </w:r>
      <w:r>
        <w:rPr>
          <w:rFonts w:hint="eastAsia" w:ascii="宋体" w:hAnsi="宋体" w:cs="宋体"/>
          <w:color w:val="auto"/>
          <w:kern w:val="2"/>
          <w:sz w:val="24"/>
          <w:szCs w:val="24"/>
          <w:highlight w:val="none"/>
          <w:lang w:val="en-US" w:eastAsia="zh-CN" w:bidi="ar-SA"/>
        </w:rPr>
        <w:t>中标人</w:t>
      </w:r>
      <w:r>
        <w:rPr>
          <w:rFonts w:hint="eastAsia" w:ascii="宋体" w:hAnsi="宋体" w:eastAsia="宋体" w:cs="宋体"/>
          <w:color w:val="auto"/>
          <w:kern w:val="2"/>
          <w:sz w:val="24"/>
          <w:szCs w:val="24"/>
          <w:highlight w:val="none"/>
          <w:lang w:val="en-US" w:eastAsia="zh-CN" w:bidi="ar-SA"/>
        </w:rPr>
        <w:t>不得雇用未满16周岁的未成年人。</w:t>
      </w:r>
    </w:p>
    <w:p w14:paraId="00884D29">
      <w:pPr>
        <w:pageBreakBefore w:val="0"/>
        <w:numPr>
          <w:ilvl w:val="0"/>
          <w:numId w:val="10"/>
        </w:numPr>
        <w:kinsoku/>
        <w:wordWrap/>
        <w:overflowPunct/>
        <w:topLinePunct w:val="0"/>
        <w:autoSpaceDE/>
        <w:autoSpaceDN/>
        <w:bidi w:val="0"/>
        <w:snapToGrid/>
        <w:spacing w:line="480" w:lineRule="exact"/>
        <w:ind w:left="425" w:leftChars="0" w:hanging="425" w:firstLineChars="0"/>
        <w:textAlignment w:val="auto"/>
        <w:rPr>
          <w:rFonts w:ascii="宋体" w:hAnsi="宋体" w:eastAsia="宋体" w:cs="宋体"/>
          <w:b w:val="0"/>
          <w:bCs w:val="0"/>
          <w:sz w:val="24"/>
          <w:szCs w:val="24"/>
        </w:rPr>
      </w:pPr>
      <w:r>
        <w:rPr>
          <w:rFonts w:ascii="宋体" w:hAnsi="宋体" w:eastAsia="宋体" w:cs="宋体"/>
          <w:b w:val="0"/>
          <w:bCs w:val="0"/>
          <w:sz w:val="24"/>
          <w:szCs w:val="24"/>
        </w:rPr>
        <w:t>智能快递柜整合与后续投入要求</w:t>
      </w:r>
    </w:p>
    <w:p w14:paraId="250D7B99">
      <w:pPr>
        <w:numPr>
          <w:ilvl w:val="0"/>
          <w:numId w:val="12"/>
        </w:numPr>
        <w:spacing w:line="480" w:lineRule="exact"/>
        <w:ind w:left="425" w:leftChars="0" w:hanging="425" w:firstLineChars="0"/>
        <w:rPr>
          <w:rFonts w:ascii="宋体" w:hAnsi="宋体" w:eastAsia="宋体" w:cs="宋体"/>
          <w:sz w:val="24"/>
          <w:szCs w:val="24"/>
        </w:rPr>
      </w:pPr>
      <w:r>
        <w:rPr>
          <w:rFonts w:ascii="宋体" w:hAnsi="宋体" w:eastAsia="宋体" w:cs="宋体"/>
          <w:b w:val="0"/>
          <w:bCs w:val="0"/>
          <w:sz w:val="24"/>
          <w:szCs w:val="24"/>
        </w:rPr>
        <w:t>现状衔接与业务整合：</w:t>
      </w:r>
      <w:r>
        <w:rPr>
          <w:rFonts w:ascii="宋体" w:hAnsi="宋体" w:eastAsia="宋体" w:cs="宋体"/>
          <w:sz w:val="24"/>
          <w:szCs w:val="24"/>
        </w:rPr>
        <w:t>采购人院内目前设有第三方运营的智能快递柜。在现有智能快递柜服务合同期满前，</w:t>
      </w:r>
      <w:r>
        <w:rPr>
          <w:rFonts w:hint="eastAsia" w:ascii="宋体" w:hAnsi="宋体" w:eastAsia="宋体" w:cs="宋体"/>
          <w:sz w:val="24"/>
          <w:szCs w:val="24"/>
          <w:lang w:eastAsia="zh-CN"/>
        </w:rPr>
        <w:t>中标人</w:t>
      </w:r>
      <w:r>
        <w:rPr>
          <w:rFonts w:ascii="宋体" w:hAnsi="宋体" w:eastAsia="宋体" w:cs="宋体"/>
          <w:sz w:val="24"/>
          <w:szCs w:val="24"/>
        </w:rPr>
        <w:t>须积极配合，实现“人工驿站+现有快递柜”的业务整合与平稳运行，不得因新老业务交接影响采购人正常的快递收发秩序。</w:t>
      </w:r>
    </w:p>
    <w:p w14:paraId="30C7523A">
      <w:pPr>
        <w:numPr>
          <w:ilvl w:val="0"/>
          <w:numId w:val="12"/>
        </w:numPr>
        <w:spacing w:line="480" w:lineRule="exact"/>
        <w:ind w:left="425" w:leftChars="0" w:hanging="425" w:firstLineChars="0"/>
        <w:rPr>
          <w:rFonts w:ascii="宋体" w:hAnsi="宋体" w:eastAsia="宋体" w:cs="宋体"/>
          <w:b w:val="0"/>
          <w:bCs w:val="0"/>
          <w:sz w:val="24"/>
          <w:szCs w:val="24"/>
        </w:rPr>
      </w:pPr>
      <w:r>
        <w:rPr>
          <w:rFonts w:ascii="宋体" w:hAnsi="宋体" w:eastAsia="宋体" w:cs="宋体"/>
          <w:b w:val="0"/>
          <w:bCs w:val="0"/>
          <w:sz w:val="24"/>
          <w:szCs w:val="24"/>
        </w:rPr>
        <w:t>到期承接与设备投入：</w:t>
      </w:r>
      <w:r>
        <w:rPr>
          <w:rFonts w:ascii="宋体" w:hAnsi="宋体" w:eastAsia="宋体" w:cs="宋体"/>
          <w:sz w:val="24"/>
          <w:szCs w:val="24"/>
        </w:rPr>
        <w:t xml:space="preserve"> 现有智能快递柜服务合同到期后，</w:t>
      </w:r>
      <w:r>
        <w:rPr>
          <w:rFonts w:hint="eastAsia" w:ascii="宋体" w:hAnsi="宋体" w:eastAsia="宋体" w:cs="宋体"/>
          <w:sz w:val="24"/>
          <w:szCs w:val="24"/>
          <w:lang w:eastAsia="zh-CN"/>
        </w:rPr>
        <w:t>中标人</w:t>
      </w:r>
      <w:r>
        <w:rPr>
          <w:rFonts w:ascii="宋体" w:hAnsi="宋体" w:eastAsia="宋体" w:cs="宋体"/>
          <w:sz w:val="24"/>
          <w:szCs w:val="24"/>
        </w:rPr>
        <w:t>须无条件接管院内智能快递柜的全面服务，并全额出资投入全新的智能快递柜设备以替换原有设备。新投入的快递柜数量、规格、功能（需具备自动出库、自助</w:t>
      </w:r>
      <w:r>
        <w:rPr>
          <w:rFonts w:ascii="宋体" w:hAnsi="宋体" w:eastAsia="宋体" w:cs="宋体"/>
          <w:b w:val="0"/>
          <w:bCs w:val="0"/>
          <w:sz w:val="24"/>
          <w:szCs w:val="24"/>
        </w:rPr>
        <w:t>寄件等无人收寄功能）及安放位置，须在现有设备到期前30个工作日内报采购人审核同意后方可组织实施。</w:t>
      </w:r>
    </w:p>
    <w:p w14:paraId="5B167530">
      <w:pPr>
        <w:numPr>
          <w:ilvl w:val="0"/>
          <w:numId w:val="12"/>
        </w:numPr>
        <w:spacing w:line="480" w:lineRule="exact"/>
        <w:ind w:left="425" w:leftChars="0" w:hanging="425" w:firstLineChars="0"/>
        <w:rPr>
          <w:rFonts w:ascii="宋体" w:hAnsi="宋体" w:eastAsia="宋体" w:cs="宋体"/>
          <w:b w:val="0"/>
          <w:bCs w:val="0"/>
          <w:sz w:val="24"/>
          <w:szCs w:val="24"/>
        </w:rPr>
      </w:pPr>
      <w:r>
        <w:rPr>
          <w:rFonts w:ascii="宋体" w:hAnsi="宋体" w:eastAsia="宋体" w:cs="宋体"/>
          <w:b w:val="0"/>
          <w:bCs w:val="0"/>
          <w:sz w:val="24"/>
          <w:szCs w:val="24"/>
        </w:rPr>
        <w:t>费用承担与资产归属：</w:t>
      </w:r>
      <w:r>
        <w:rPr>
          <w:rFonts w:hint="eastAsia" w:ascii="宋体" w:hAnsi="宋体" w:eastAsia="宋体" w:cs="宋体"/>
          <w:b w:val="0"/>
          <w:bCs w:val="0"/>
          <w:sz w:val="24"/>
          <w:szCs w:val="24"/>
          <w:lang w:eastAsia="zh-CN"/>
        </w:rPr>
        <w:t>中标人</w:t>
      </w:r>
      <w:r>
        <w:rPr>
          <w:rFonts w:ascii="宋体" w:hAnsi="宋体" w:eastAsia="宋体" w:cs="宋体"/>
          <w:b w:val="0"/>
          <w:bCs w:val="0"/>
          <w:sz w:val="24"/>
          <w:szCs w:val="24"/>
        </w:rPr>
        <w:t>投入的新智能快递柜所需的一切费用（包括但不限于设备采购、安装、调试、网络、日常维护及最终拆除等）均由</w:t>
      </w:r>
      <w:r>
        <w:rPr>
          <w:rFonts w:hint="eastAsia" w:ascii="宋体" w:hAnsi="宋体" w:eastAsia="宋体" w:cs="宋体"/>
          <w:b w:val="0"/>
          <w:bCs w:val="0"/>
          <w:sz w:val="24"/>
          <w:szCs w:val="24"/>
          <w:lang w:eastAsia="zh-CN"/>
        </w:rPr>
        <w:t>中标人</w:t>
      </w:r>
      <w:r>
        <w:rPr>
          <w:rFonts w:ascii="宋体" w:hAnsi="宋体" w:eastAsia="宋体" w:cs="宋体"/>
          <w:b w:val="0"/>
          <w:bCs w:val="0"/>
          <w:sz w:val="24"/>
          <w:szCs w:val="24"/>
        </w:rPr>
        <w:t>自行承担，包含在整体报价中。合同期满后，该设备资产归</w:t>
      </w:r>
      <w:r>
        <w:rPr>
          <w:rFonts w:hint="eastAsia" w:ascii="宋体" w:hAnsi="宋体" w:eastAsia="宋体" w:cs="宋体"/>
          <w:b w:val="0"/>
          <w:bCs w:val="0"/>
          <w:sz w:val="24"/>
          <w:szCs w:val="24"/>
          <w:lang w:eastAsia="zh-CN"/>
        </w:rPr>
        <w:t>中标人</w:t>
      </w:r>
      <w:r>
        <w:rPr>
          <w:rFonts w:ascii="宋体" w:hAnsi="宋体" w:eastAsia="宋体" w:cs="宋体"/>
          <w:b w:val="0"/>
          <w:bCs w:val="0"/>
          <w:sz w:val="24"/>
          <w:szCs w:val="24"/>
        </w:rPr>
        <w:t>所有，</w:t>
      </w:r>
      <w:r>
        <w:rPr>
          <w:rFonts w:hint="eastAsia" w:ascii="宋体" w:hAnsi="宋体" w:eastAsia="宋体" w:cs="宋体"/>
          <w:b w:val="0"/>
          <w:bCs w:val="0"/>
          <w:sz w:val="24"/>
          <w:szCs w:val="24"/>
          <w:lang w:eastAsia="zh-CN"/>
        </w:rPr>
        <w:t>中标人</w:t>
      </w:r>
      <w:r>
        <w:rPr>
          <w:rFonts w:ascii="宋体" w:hAnsi="宋体" w:eastAsia="宋体" w:cs="宋体"/>
          <w:b w:val="0"/>
          <w:bCs w:val="0"/>
          <w:sz w:val="24"/>
          <w:szCs w:val="24"/>
        </w:rPr>
        <w:t>应负责无条件清场并恢复场地原貌（除非采购人另有要求）。</w:t>
      </w:r>
    </w:p>
    <w:p w14:paraId="15F2C957">
      <w:pPr>
        <w:pageBreakBefore w:val="0"/>
        <w:numPr>
          <w:ilvl w:val="0"/>
          <w:numId w:val="10"/>
        </w:numPr>
        <w:kinsoku/>
        <w:wordWrap/>
        <w:overflowPunct/>
        <w:topLinePunct w:val="0"/>
        <w:autoSpaceDE/>
        <w:autoSpaceDN/>
        <w:bidi w:val="0"/>
        <w:snapToGrid/>
        <w:spacing w:line="480" w:lineRule="exact"/>
        <w:ind w:left="425" w:leftChars="0" w:hanging="425" w:firstLineChars="0"/>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处罚条款</w:t>
      </w:r>
    </w:p>
    <w:p w14:paraId="2C42210B">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b w:val="0"/>
          <w:bCs w:val="0"/>
          <w:color w:val="000000"/>
          <w:sz w:val="24"/>
          <w:szCs w:val="24"/>
        </w:rPr>
      </w:pPr>
      <w:r>
        <w:rPr>
          <w:b w:val="0"/>
          <w:bCs w:val="0"/>
          <w:color w:val="000000"/>
          <w:sz w:val="24"/>
          <w:szCs w:val="24"/>
        </w:rPr>
        <w:t>承包方须严格遵守医院院区管理、消防安全、院感防控、环境卫生等各项管理制度，服从医院各职能部门日常监管。拒不配合、逾期不整改的，每次处罚</w:t>
      </w:r>
      <w:r>
        <w:rPr>
          <w:rStyle w:val="22"/>
          <w:rFonts w:hint="eastAsia"/>
          <w:b w:val="0"/>
          <w:bCs w:val="0"/>
          <w:color w:val="000000"/>
          <w:sz w:val="24"/>
          <w:szCs w:val="24"/>
          <w:lang w:val="en-US" w:eastAsia="zh-CN"/>
        </w:rPr>
        <w:t>100</w:t>
      </w:r>
      <w:r>
        <w:rPr>
          <w:rStyle w:val="22"/>
          <w:b w:val="0"/>
          <w:bCs w:val="0"/>
          <w:color w:val="000000"/>
          <w:sz w:val="24"/>
          <w:szCs w:val="24"/>
        </w:rPr>
        <w:t>–2000 元</w:t>
      </w:r>
      <w:r>
        <w:rPr>
          <w:b w:val="0"/>
          <w:bCs w:val="0"/>
          <w:color w:val="000000"/>
          <w:sz w:val="24"/>
          <w:szCs w:val="24"/>
        </w:rPr>
        <w:t>。</w:t>
      </w:r>
    </w:p>
    <w:p w14:paraId="5E65C516">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b w:val="0"/>
          <w:bCs w:val="0"/>
          <w:color w:val="000000"/>
          <w:sz w:val="24"/>
          <w:szCs w:val="24"/>
        </w:rPr>
      </w:pPr>
      <w:r>
        <w:rPr>
          <w:b w:val="0"/>
          <w:bCs w:val="0"/>
          <w:color w:val="000000"/>
          <w:sz w:val="24"/>
          <w:szCs w:val="24"/>
        </w:rPr>
        <w:t>严禁占道堆放、乱堆杂物、超范围经营、随意丢弃快递包装垃圾，破坏院区环境。违规一次处罚</w:t>
      </w:r>
      <w:r>
        <w:rPr>
          <w:rStyle w:val="22"/>
          <w:rFonts w:hint="eastAsia"/>
          <w:b w:val="0"/>
          <w:bCs w:val="0"/>
          <w:color w:val="000000"/>
          <w:sz w:val="24"/>
          <w:szCs w:val="24"/>
          <w:lang w:val="en-US" w:eastAsia="zh-CN"/>
        </w:rPr>
        <w:t>100</w:t>
      </w:r>
      <w:r>
        <w:rPr>
          <w:rStyle w:val="22"/>
          <w:b w:val="0"/>
          <w:bCs w:val="0"/>
          <w:color w:val="000000"/>
          <w:sz w:val="24"/>
          <w:szCs w:val="24"/>
        </w:rPr>
        <w:t>–1000 元</w:t>
      </w:r>
      <w:r>
        <w:rPr>
          <w:b w:val="0"/>
          <w:bCs w:val="0"/>
          <w:color w:val="000000"/>
          <w:sz w:val="24"/>
          <w:szCs w:val="24"/>
        </w:rPr>
        <w:t>，限期整改。</w:t>
      </w:r>
    </w:p>
    <w:p w14:paraId="7CF1D37E">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b w:val="0"/>
          <w:bCs w:val="0"/>
          <w:color w:val="000000"/>
          <w:sz w:val="24"/>
          <w:szCs w:val="24"/>
        </w:rPr>
      </w:pPr>
      <w:r>
        <w:rPr>
          <w:b w:val="0"/>
          <w:bCs w:val="0"/>
          <w:color w:val="000000"/>
          <w:sz w:val="24"/>
          <w:szCs w:val="24"/>
        </w:rPr>
        <w:t>保持驿站及周边环境卫生干净整洁，落实垃圾分类清运。卫生脏乱、垃圾堆积的，每次处罚</w:t>
      </w:r>
      <w:r>
        <w:rPr>
          <w:rStyle w:val="22"/>
          <w:rFonts w:hint="eastAsia"/>
          <w:b w:val="0"/>
          <w:bCs w:val="0"/>
          <w:color w:val="000000"/>
          <w:sz w:val="24"/>
          <w:szCs w:val="24"/>
          <w:lang w:val="en-US" w:eastAsia="zh-CN"/>
        </w:rPr>
        <w:t>100</w:t>
      </w:r>
      <w:r>
        <w:rPr>
          <w:rStyle w:val="22"/>
          <w:b w:val="0"/>
          <w:bCs w:val="0"/>
          <w:color w:val="000000"/>
          <w:sz w:val="24"/>
          <w:szCs w:val="24"/>
        </w:rPr>
        <w:t>–800 元</w:t>
      </w:r>
      <w:r>
        <w:rPr>
          <w:b w:val="0"/>
          <w:bCs w:val="0"/>
          <w:color w:val="000000"/>
          <w:sz w:val="24"/>
          <w:szCs w:val="24"/>
        </w:rPr>
        <w:t>。</w:t>
      </w:r>
    </w:p>
    <w:p w14:paraId="22C73093">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b w:val="0"/>
          <w:bCs w:val="0"/>
          <w:color w:val="000000"/>
          <w:sz w:val="24"/>
          <w:szCs w:val="24"/>
        </w:rPr>
      </w:pPr>
      <w:r>
        <w:rPr>
          <w:b w:val="0"/>
          <w:bCs w:val="0"/>
          <w:color w:val="000000"/>
          <w:sz w:val="24"/>
          <w:szCs w:val="24"/>
        </w:rPr>
        <w:t>工作人员文明规范服务，禁止争吵争执、言行不文明、院内吸烟等违规行为。违反一次处罚</w:t>
      </w:r>
      <w:r>
        <w:rPr>
          <w:rStyle w:val="22"/>
          <w:rFonts w:hint="eastAsia"/>
          <w:b w:val="0"/>
          <w:bCs w:val="0"/>
          <w:color w:val="000000"/>
          <w:sz w:val="24"/>
          <w:szCs w:val="24"/>
          <w:lang w:val="en-US" w:eastAsia="zh-CN"/>
        </w:rPr>
        <w:t>100</w:t>
      </w:r>
      <w:r>
        <w:rPr>
          <w:rStyle w:val="22"/>
          <w:b w:val="0"/>
          <w:bCs w:val="0"/>
          <w:color w:val="000000"/>
          <w:sz w:val="24"/>
          <w:szCs w:val="24"/>
        </w:rPr>
        <w:t>–1000 元</w:t>
      </w:r>
      <w:r>
        <w:rPr>
          <w:b w:val="0"/>
          <w:bCs w:val="0"/>
          <w:color w:val="000000"/>
          <w:sz w:val="24"/>
          <w:szCs w:val="24"/>
        </w:rPr>
        <w:t>。</w:t>
      </w:r>
    </w:p>
    <w:p w14:paraId="4815E625">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b w:val="0"/>
          <w:bCs w:val="0"/>
          <w:color w:val="000000"/>
          <w:sz w:val="24"/>
          <w:szCs w:val="24"/>
        </w:rPr>
      </w:pPr>
      <w:r>
        <w:rPr>
          <w:b w:val="0"/>
          <w:bCs w:val="0"/>
          <w:color w:val="000000"/>
          <w:sz w:val="24"/>
          <w:szCs w:val="24"/>
        </w:rPr>
        <w:t>严格遵守消防及用电管理规定，严禁私拉乱接电线、违规用电、堵塞消防通道。存在消防隐患的，每次处罚</w:t>
      </w:r>
      <w:r>
        <w:rPr>
          <w:rStyle w:val="22"/>
          <w:b w:val="0"/>
          <w:bCs w:val="0"/>
          <w:color w:val="000000"/>
          <w:sz w:val="24"/>
          <w:szCs w:val="24"/>
        </w:rPr>
        <w:t>1000–3000 元</w:t>
      </w:r>
      <w:r>
        <w:rPr>
          <w:b w:val="0"/>
          <w:bCs w:val="0"/>
          <w:color w:val="000000"/>
          <w:sz w:val="24"/>
          <w:szCs w:val="24"/>
        </w:rPr>
        <w:t>。</w:t>
      </w:r>
    </w:p>
    <w:p w14:paraId="290369FA">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b w:val="0"/>
          <w:bCs w:val="0"/>
          <w:color w:val="000000"/>
          <w:sz w:val="24"/>
          <w:szCs w:val="24"/>
        </w:rPr>
      </w:pPr>
      <w:r>
        <w:rPr>
          <w:b w:val="0"/>
          <w:bCs w:val="0"/>
          <w:color w:val="000000"/>
          <w:sz w:val="24"/>
          <w:szCs w:val="24"/>
        </w:rPr>
        <w:t>不得擅自改造场地、损坏医院设施设备，造成损坏须全额赔偿，并额外处罚</w:t>
      </w:r>
      <w:r>
        <w:rPr>
          <w:rStyle w:val="22"/>
          <w:b w:val="0"/>
          <w:bCs w:val="0"/>
          <w:color w:val="000000"/>
          <w:sz w:val="24"/>
          <w:szCs w:val="24"/>
        </w:rPr>
        <w:t>500–2000 元 / 次</w:t>
      </w:r>
      <w:r>
        <w:rPr>
          <w:b w:val="0"/>
          <w:bCs w:val="0"/>
          <w:color w:val="000000"/>
          <w:sz w:val="24"/>
          <w:szCs w:val="24"/>
        </w:rPr>
        <w:t>。</w:t>
      </w:r>
    </w:p>
    <w:p w14:paraId="059819F3">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rFonts w:hint="default" w:ascii="宋体" w:hAnsi="宋体" w:cs="宋体"/>
          <w:b w:val="0"/>
          <w:bCs w:val="0"/>
          <w:sz w:val="24"/>
          <w:szCs w:val="24"/>
          <w:lang w:val="en-US" w:eastAsia="zh-CN"/>
        </w:rPr>
      </w:pPr>
      <w:r>
        <w:rPr>
          <w:b w:val="0"/>
          <w:bCs w:val="0"/>
          <w:color w:val="000000"/>
          <w:sz w:val="24"/>
          <w:szCs w:val="24"/>
        </w:rPr>
        <w:t>严禁泄露职工及患者个人隐私信息，严禁私自拍照、录像及外传院内影像资料，一经查实处罚</w:t>
      </w:r>
      <w:r>
        <w:rPr>
          <w:rStyle w:val="22"/>
          <w:b w:val="0"/>
          <w:bCs w:val="0"/>
          <w:color w:val="000000"/>
          <w:sz w:val="24"/>
          <w:szCs w:val="24"/>
        </w:rPr>
        <w:t>2000 元 / 次</w:t>
      </w:r>
      <w:r>
        <w:rPr>
          <w:b w:val="0"/>
          <w:bCs w:val="0"/>
          <w:color w:val="000000"/>
          <w:sz w:val="24"/>
          <w:szCs w:val="24"/>
        </w:rPr>
        <w:t>，情节严重直接解除合作。</w:t>
      </w:r>
    </w:p>
    <w:p w14:paraId="310C8D4C">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rFonts w:hint="default" w:ascii="宋体" w:hAnsi="宋体" w:cs="宋体"/>
          <w:b w:val="0"/>
          <w:bCs w:val="0"/>
          <w:sz w:val="24"/>
          <w:szCs w:val="24"/>
          <w:lang w:val="en-US" w:eastAsia="zh-CN"/>
        </w:rPr>
      </w:pPr>
      <w:r>
        <w:rPr>
          <w:b w:val="0"/>
          <w:bCs w:val="0"/>
          <w:color w:val="000000"/>
          <w:sz w:val="24"/>
          <w:szCs w:val="24"/>
        </w:rPr>
        <w:t>严禁转包、分包、转租经营点位，因管理不善引发投诉、秩序混乱、不良影响的，医院有权处以</w:t>
      </w:r>
      <w:r>
        <w:rPr>
          <w:rStyle w:val="22"/>
          <w:b w:val="0"/>
          <w:bCs w:val="0"/>
          <w:color w:val="000000"/>
          <w:sz w:val="24"/>
          <w:szCs w:val="24"/>
        </w:rPr>
        <w:t>1000–5000 元</w:t>
      </w:r>
      <w:r>
        <w:rPr>
          <w:b w:val="0"/>
          <w:bCs w:val="0"/>
          <w:color w:val="000000"/>
          <w:sz w:val="24"/>
          <w:szCs w:val="24"/>
        </w:rPr>
        <w:t>违约金，情节严重终止合同；</w:t>
      </w:r>
    </w:p>
    <w:p w14:paraId="213BE810">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rFonts w:hint="default" w:ascii="宋体" w:hAnsi="宋体" w:cs="宋体"/>
          <w:b w:val="0"/>
          <w:bCs w:val="0"/>
          <w:sz w:val="24"/>
          <w:szCs w:val="24"/>
          <w:lang w:val="en-US" w:eastAsia="zh-CN"/>
        </w:rPr>
      </w:pPr>
      <w:r>
        <w:rPr>
          <w:rFonts w:ascii="宋体" w:hAnsi="宋体" w:eastAsia="宋体" w:cs="宋体"/>
          <w:b w:val="0"/>
          <w:bCs w:val="0"/>
          <w:sz w:val="24"/>
          <w:szCs w:val="24"/>
        </w:rPr>
        <w:t>中标人（驿站经营者）在承包运营医院集中快递驿站期间，必须建立严格的包裹入库、上架、理货、派送及签收溯源机制。凡因经营者自身管理不善、交接不清、违规操作、安保缺失等原因，导致快递包裹在驿站存放、流转或派送环节发生遗失、短少、错发、损毁、被盗等任何情况，一切经济损失及相关法律责任均由经营者无条件全额承担，医院方面不承担任何连带责任。</w:t>
      </w:r>
    </w:p>
    <w:p w14:paraId="613395C1">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rFonts w:hint="default" w:ascii="宋体" w:hAnsi="宋体" w:cs="宋体"/>
          <w:b w:val="0"/>
          <w:bCs w:val="0"/>
          <w:sz w:val="24"/>
          <w:szCs w:val="24"/>
          <w:lang w:val="en-US" w:eastAsia="zh-CN"/>
        </w:rPr>
      </w:pPr>
      <w:r>
        <w:rPr>
          <w:rFonts w:ascii="宋体" w:hAnsi="宋体" w:eastAsia="宋体" w:cs="宋体"/>
          <w:b w:val="0"/>
          <w:bCs w:val="0"/>
          <w:sz w:val="24"/>
          <w:szCs w:val="24"/>
        </w:rPr>
        <w:t>驿站经营者及其所有聘用员工，在福建省肿瘤医院院内（含驿站区域、门诊病房流转途中、院内公共区域）服务期间，禁止与任何人（包括但不限于院内职工、患者及其家属、其他快递公司人员）发生任何形式的争吵、对骂或肢体冲突。</w:t>
      </w:r>
    </w:p>
    <w:bookmarkEnd w:id="0"/>
    <w:bookmarkEnd w:id="1"/>
    <w:p w14:paraId="6376D56D">
      <w:pPr>
        <w:pStyle w:val="11"/>
        <w:ind w:firstLine="0" w:firstLineChars="0"/>
      </w:pPr>
    </w:p>
    <w:p w14:paraId="773C8C76">
      <w:pPr>
        <w:widowControl/>
        <w:spacing w:line="360" w:lineRule="atLeast"/>
        <w:jc w:val="left"/>
        <w:rPr>
          <w:rFonts w:ascii="宋体" w:hAnsi="宋体" w:cs="Arial"/>
          <w:sz w:val="24"/>
        </w:rPr>
      </w:pPr>
      <w:r>
        <w:rPr>
          <w:rFonts w:hint="eastAsia" w:ascii="宋体" w:hAnsi="宋体" w:cs="Arial"/>
          <w:sz w:val="24"/>
        </w:rPr>
        <w:t>二、评分方法</w:t>
      </w:r>
    </w:p>
    <w:tbl>
      <w:tblPr>
        <w:tblStyle w:val="19"/>
        <w:tblW w:w="8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501"/>
        <w:gridCol w:w="142"/>
        <w:gridCol w:w="831"/>
        <w:gridCol w:w="49"/>
        <w:gridCol w:w="4907"/>
      </w:tblGrid>
      <w:tr w14:paraId="1329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61DB9344">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序号</w:t>
            </w:r>
          </w:p>
        </w:tc>
        <w:tc>
          <w:tcPr>
            <w:tcW w:w="1501" w:type="dxa"/>
            <w:tcBorders>
              <w:top w:val="single" w:color="auto" w:sz="4" w:space="0"/>
              <w:left w:val="single" w:color="auto" w:sz="4" w:space="0"/>
              <w:bottom w:val="single" w:color="auto" w:sz="4" w:space="0"/>
              <w:right w:val="single" w:color="auto" w:sz="4" w:space="0"/>
            </w:tcBorders>
            <w:vAlign w:val="center"/>
          </w:tcPr>
          <w:p w14:paraId="63135E45">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评标项目</w:t>
            </w:r>
          </w:p>
        </w:tc>
        <w:tc>
          <w:tcPr>
            <w:tcW w:w="973" w:type="dxa"/>
            <w:gridSpan w:val="2"/>
            <w:tcBorders>
              <w:top w:val="single" w:color="auto" w:sz="4" w:space="0"/>
              <w:left w:val="single" w:color="auto" w:sz="4" w:space="0"/>
              <w:bottom w:val="single" w:color="auto" w:sz="4" w:space="0"/>
              <w:right w:val="single" w:color="auto" w:sz="4" w:space="0"/>
            </w:tcBorders>
            <w:vAlign w:val="center"/>
          </w:tcPr>
          <w:p w14:paraId="017C6C65">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评标分值</w:t>
            </w:r>
          </w:p>
        </w:tc>
        <w:tc>
          <w:tcPr>
            <w:tcW w:w="4956" w:type="dxa"/>
            <w:gridSpan w:val="2"/>
            <w:tcBorders>
              <w:top w:val="single" w:color="auto" w:sz="4" w:space="0"/>
              <w:left w:val="single" w:color="auto" w:sz="4" w:space="0"/>
              <w:bottom w:val="single" w:color="auto" w:sz="4" w:space="0"/>
              <w:right w:val="single" w:color="auto" w:sz="4" w:space="0"/>
            </w:tcBorders>
            <w:vAlign w:val="center"/>
          </w:tcPr>
          <w:p w14:paraId="2DDFC16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评标方法</w:t>
            </w:r>
          </w:p>
        </w:tc>
      </w:tr>
      <w:tr w14:paraId="7E13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3D90EAF9">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A</w:t>
            </w:r>
          </w:p>
        </w:tc>
        <w:tc>
          <w:tcPr>
            <w:tcW w:w="1501" w:type="dxa"/>
            <w:tcBorders>
              <w:top w:val="single" w:color="auto" w:sz="4" w:space="0"/>
              <w:left w:val="single" w:color="auto" w:sz="4" w:space="0"/>
              <w:bottom w:val="single" w:color="auto" w:sz="4" w:space="0"/>
              <w:right w:val="single" w:color="auto" w:sz="4" w:space="0"/>
            </w:tcBorders>
            <w:vAlign w:val="center"/>
          </w:tcPr>
          <w:p w14:paraId="48C65FF0">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报价部分</w:t>
            </w:r>
          </w:p>
          <w:p w14:paraId="00EA5B53">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评分办法</w:t>
            </w:r>
          </w:p>
        </w:tc>
        <w:tc>
          <w:tcPr>
            <w:tcW w:w="973" w:type="dxa"/>
            <w:gridSpan w:val="2"/>
            <w:tcBorders>
              <w:top w:val="single" w:color="auto" w:sz="4" w:space="0"/>
              <w:left w:val="single" w:color="auto" w:sz="4" w:space="0"/>
              <w:bottom w:val="single" w:color="auto" w:sz="4" w:space="0"/>
              <w:right w:val="single" w:color="auto" w:sz="4" w:space="0"/>
            </w:tcBorders>
            <w:vAlign w:val="center"/>
          </w:tcPr>
          <w:p w14:paraId="7B6322A8">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10分</w:t>
            </w:r>
          </w:p>
        </w:tc>
        <w:tc>
          <w:tcPr>
            <w:tcW w:w="4956" w:type="dxa"/>
            <w:gridSpan w:val="2"/>
            <w:tcBorders>
              <w:top w:val="single" w:color="auto" w:sz="4" w:space="0"/>
              <w:left w:val="single" w:color="auto" w:sz="4" w:space="0"/>
              <w:bottom w:val="single" w:color="auto" w:sz="4" w:space="0"/>
              <w:right w:val="single" w:color="auto" w:sz="4" w:space="0"/>
            </w:tcBorders>
            <w:vAlign w:val="center"/>
          </w:tcPr>
          <w:p w14:paraId="530FDDBD">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投标人的投标总价经修正后，计算出报价评标价，评委将按下列方法计算合格投标人的报价部分得分。</w:t>
            </w:r>
          </w:p>
          <w:p w14:paraId="739A6C99">
            <w:pPr>
              <w:snapToGrid w:val="0"/>
              <w:ind w:firstLine="960" w:firstLineChars="400"/>
              <w:rPr>
                <w:rFonts w:ascii="宋体" w:hAnsi="宋体" w:cs="宋体"/>
                <w:sz w:val="24"/>
              </w:rPr>
            </w:pPr>
            <w:r>
              <w:rPr>
                <w:rFonts w:hint="eastAsia" w:ascii="宋体" w:hAnsi="宋体" w:cs="宋体"/>
                <w:sz w:val="24"/>
              </w:rPr>
              <w:t>∣F-Fn∣</w:t>
            </w:r>
          </w:p>
          <w:p w14:paraId="6E40390E">
            <w:pPr>
              <w:snapToGrid w:val="0"/>
              <w:rPr>
                <w:rFonts w:ascii="宋体" w:hAnsi="宋体" w:cs="宋体"/>
                <w:sz w:val="24"/>
              </w:rPr>
            </w:pPr>
            <w:r>
              <w:rPr>
                <w:rFonts w:hint="eastAsia" w:ascii="宋体" w:hAnsi="宋体" w:cs="宋体"/>
                <w:sz w:val="24"/>
              </w:rPr>
              <w:t>PF=</w:t>
            </w:r>
            <w:r>
              <w:rPr>
                <w:rFonts w:hint="eastAsia" w:ascii="宋体" w:hAnsi="宋体" w:cs="宋体"/>
                <w:sz w:val="24"/>
                <w:lang w:val="en-US" w:eastAsia="zh-CN"/>
              </w:rPr>
              <w:t>10</w:t>
            </w:r>
            <w:r>
              <w:rPr>
                <w:rFonts w:hint="eastAsia" w:ascii="宋体" w:hAnsi="宋体" w:cs="宋体"/>
                <w:sz w:val="24"/>
              </w:rPr>
              <w:t>- —————</w:t>
            </w:r>
            <w:r>
              <w:rPr>
                <w:rFonts w:hint="eastAsia"/>
              </w:rPr>
              <w:t>×</w:t>
            </w:r>
            <w:r>
              <w:rPr>
                <w:rFonts w:hint="eastAsia" w:ascii="宋体" w:hAnsi="宋体" w:cs="宋体"/>
                <w:sz w:val="24"/>
                <w:lang w:val="en-US" w:eastAsia="zh-CN"/>
              </w:rPr>
              <w:t>10</w:t>
            </w:r>
            <w:r>
              <w:rPr>
                <w:rFonts w:hint="eastAsia"/>
              </w:rPr>
              <w:t>×Q</w:t>
            </w:r>
          </w:p>
          <w:p w14:paraId="36201CE9">
            <w:pPr>
              <w:snapToGrid w:val="0"/>
              <w:ind w:firstLine="1320" w:firstLineChars="550"/>
              <w:rPr>
                <w:rFonts w:ascii="宋体" w:hAnsi="宋体" w:cs="宋体"/>
                <w:sz w:val="24"/>
              </w:rPr>
            </w:pPr>
            <w:r>
              <w:rPr>
                <w:rFonts w:hint="eastAsia" w:ascii="宋体" w:hAnsi="宋体" w:cs="宋体"/>
                <w:sz w:val="24"/>
              </w:rPr>
              <w:t>Fn</w:t>
            </w:r>
          </w:p>
          <w:p w14:paraId="01B17A37">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PF：投标人的投标报价得分</w:t>
            </w:r>
          </w:p>
          <w:p w14:paraId="4E5A64B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F：各合格投标人报价</w:t>
            </w:r>
          </w:p>
          <w:p w14:paraId="16E2BF40">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Fn：评标基准价，为合格投标人报价的平均价</w:t>
            </w:r>
          </w:p>
          <w:p w14:paraId="58FC2034">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Q：F≥Fn，Q=0.2；F＜Fn，Q=0.4</w:t>
            </w:r>
          </w:p>
        </w:tc>
      </w:tr>
      <w:tr w14:paraId="5D46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51B91B2F">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B</w:t>
            </w:r>
          </w:p>
        </w:tc>
        <w:tc>
          <w:tcPr>
            <w:tcW w:w="7430" w:type="dxa"/>
            <w:gridSpan w:val="5"/>
            <w:tcBorders>
              <w:top w:val="single" w:color="auto" w:sz="4" w:space="0"/>
              <w:left w:val="single" w:color="auto" w:sz="4" w:space="0"/>
              <w:bottom w:val="single" w:color="auto" w:sz="4" w:space="0"/>
              <w:right w:val="single" w:color="auto" w:sz="4" w:space="0"/>
            </w:tcBorders>
            <w:vAlign w:val="center"/>
          </w:tcPr>
          <w:p w14:paraId="7F284BB5">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技术服务评分：满分72分。</w:t>
            </w:r>
          </w:p>
        </w:tc>
      </w:tr>
      <w:tr w14:paraId="2BD3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761" w:type="dxa"/>
            <w:vMerge w:val="restart"/>
            <w:tcBorders>
              <w:top w:val="single" w:color="auto" w:sz="4" w:space="0"/>
              <w:left w:val="single" w:color="auto" w:sz="4" w:space="0"/>
              <w:bottom w:val="single" w:color="auto" w:sz="4" w:space="0"/>
              <w:right w:val="single" w:color="auto" w:sz="4" w:space="0"/>
            </w:tcBorders>
            <w:vAlign w:val="center"/>
          </w:tcPr>
          <w:p w14:paraId="628FE198">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vAlign w:val="center"/>
          </w:tcPr>
          <w:p w14:paraId="7FD8F26F">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服务内容和要求进行响应</w:t>
            </w:r>
          </w:p>
        </w:tc>
        <w:tc>
          <w:tcPr>
            <w:tcW w:w="973" w:type="dxa"/>
            <w:gridSpan w:val="2"/>
            <w:tcBorders>
              <w:top w:val="single" w:color="auto" w:sz="4" w:space="0"/>
              <w:left w:val="single" w:color="auto" w:sz="4" w:space="0"/>
              <w:bottom w:val="single" w:color="auto" w:sz="4" w:space="0"/>
              <w:right w:val="single" w:color="auto" w:sz="4" w:space="0"/>
            </w:tcBorders>
            <w:vAlign w:val="center"/>
          </w:tcPr>
          <w:p w14:paraId="5028C2E1">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44.00</w:t>
            </w:r>
          </w:p>
        </w:tc>
        <w:tc>
          <w:tcPr>
            <w:tcW w:w="4956" w:type="dxa"/>
            <w:gridSpan w:val="2"/>
            <w:tcBorders>
              <w:top w:val="single" w:color="auto" w:sz="4" w:space="0"/>
              <w:left w:val="single" w:color="auto" w:sz="4" w:space="0"/>
              <w:bottom w:val="single" w:color="auto" w:sz="4" w:space="0"/>
              <w:right w:val="single" w:color="auto" w:sz="4" w:space="0"/>
            </w:tcBorders>
            <w:vAlign w:val="center"/>
          </w:tcPr>
          <w:p w14:paraId="20305227">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评委根据投标人所要求的服务内容和要求的响应情况进行相应评分：</w:t>
            </w:r>
          </w:p>
          <w:p w14:paraId="5E3712C1">
            <w:pPr>
              <w:numPr>
                <w:ilvl w:val="0"/>
                <w:numId w:val="14"/>
              </w:num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投标人所提供的服务内容和要求能全部满足招标文件技术要求的得44分。未提供响应表的，此项将不得分，并按无效投标处理。</w:t>
            </w:r>
          </w:p>
          <w:p w14:paraId="1AD9B76C">
            <w:pPr>
              <w:numPr>
                <w:ilvl w:val="0"/>
                <w:numId w:val="14"/>
              </w:num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不响应本项“服务内容和要求”的任何一条款的，按照无效投标处理。</w:t>
            </w:r>
          </w:p>
        </w:tc>
      </w:tr>
      <w:tr w14:paraId="138A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C6BAAB9">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3FF4B94A">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2.规划效果方案</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861AF9">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3.00</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DB11D3">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highlight w:val="none"/>
                <w:lang w:val="en-US" w:eastAsia="zh-CN" w:bidi="ar-SA"/>
                <w14:ligatures w14:val="standardContextual"/>
              </w:rPr>
              <w:t>根据投标人提供的功能布局规划方案情况进行评议，投标人需提供至少1张符合本项目需求的功能布局规划效果图（附设计及效果图），由评标委员会进行评议,方案所包含的要点齐全、规划布局合理美观，具有可操作性的得3分；方案所包含的要点齐全、规划布局较为合理美观，内容相对简略，具有可操作性的得2.9分；方案所包含的要点缺项，规划布局不合理美观，可操作性不明显的得2.8分。操作</w:t>
            </w:r>
            <w:r>
              <w:rPr>
                <w:rFonts w:hint="eastAsia" w:cs="Times New Roman" w:asciiTheme="minorEastAsia" w:hAnsiTheme="minorEastAsia" w:eastAsiaTheme="minorEastAsia"/>
                <w:bCs/>
                <w:kern w:val="0"/>
                <w:sz w:val="26"/>
                <w:szCs w:val="26"/>
                <w:lang w:val="en-US" w:eastAsia="zh-CN" w:bidi="ar-SA"/>
                <w14:ligatures w14:val="standardContextual"/>
              </w:rPr>
              <w:t>性不强或未提供本项不得分。（满分3分）</w:t>
            </w:r>
          </w:p>
        </w:tc>
      </w:tr>
      <w:tr w14:paraId="53E6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D154FE4">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2C0E4C93">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4.投诉处理方案</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E26A4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3.00</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469E7DC">
            <w:pPr>
              <w:spacing w:line="420" w:lineRule="exact"/>
              <w:rPr>
                <w:rFonts w:hint="eastAsia" w:cs="Times New Roman" w:asciiTheme="minorEastAsia" w:hAnsiTheme="minorEastAsia" w:eastAsiaTheme="minorEastAsia"/>
                <w:bCs/>
                <w:kern w:val="0"/>
                <w:sz w:val="26"/>
                <w:szCs w:val="26"/>
                <w:lang w:val="en-US" w:eastAsia="zh-Hans"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投标人提供的投诉处理方案（包括延误、服务态度、问题跟进解决等内容），由评标委员会进行评议,方案所包含的要点齐全、内容与要点相符、内容详实，具有可操作性的得3分；方案所包含的要点齐全、内容与要点相符，内容相对简略，具有可操作性的得2.9分；方案所包含的要点缺项，内容与要点相符，内容相对简略，可操作性不明显的得2.8分。操作性不强或未提供本项不得分。（满分3分）</w:t>
            </w:r>
          </w:p>
        </w:tc>
      </w:tr>
      <w:tr w14:paraId="17D0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40ECDF9">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0D7CB105">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5.项目运营方案</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AAF7BD">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3.00</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1E5795D6">
            <w:pPr>
              <w:spacing w:line="420" w:lineRule="exact"/>
              <w:rPr>
                <w:rFonts w:hint="eastAsia" w:cs="Times New Roman" w:asciiTheme="minorEastAsia" w:hAnsiTheme="minorEastAsia" w:eastAsiaTheme="minorEastAsia"/>
                <w:bCs/>
                <w:kern w:val="0"/>
                <w:sz w:val="26"/>
                <w:szCs w:val="26"/>
                <w:lang w:val="en-US" w:eastAsia="zh-Hans"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投标人提供的项目运营方案（包括管理制度，卫生制度和安全制度等内容），由评标委员会进行评议,方案所包含的要点齐全、内容与要点相符、内容详实，具有可操作性的得3分；方案所包含的要点齐全、内容与要点相符，内容相对简略，具有可操作性的得2.9分；方案所包含的要点缺项，内容与要点相符，内容相对简略，可操作性不明显的得2.8分。操作性不强或未提供本项不得分。（满分3分）</w:t>
            </w:r>
          </w:p>
        </w:tc>
      </w:tr>
      <w:tr w14:paraId="09B6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E7CF146">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0AED7F1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6.分拣作业</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57A3A7">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5.00</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39964F48">
            <w:pPr>
              <w:spacing w:line="420" w:lineRule="exact"/>
              <w:rPr>
                <w:rFonts w:hint="eastAsia" w:cs="Times New Roman" w:asciiTheme="minorEastAsia" w:hAnsiTheme="minorEastAsia" w:eastAsiaTheme="minorEastAsia"/>
                <w:bCs/>
                <w:kern w:val="0"/>
                <w:sz w:val="26"/>
                <w:szCs w:val="26"/>
                <w:lang w:val="en-US" w:eastAsia="zh-Hans"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投标人承诺在分拣作业时，应当规范操作，不得以抛扔、踩踏或者其他危害快件安全的方法处理快件的得5分，提供承诺函（格式自拟）。未提供本项不得分。（满分5分）</w:t>
            </w:r>
          </w:p>
        </w:tc>
      </w:tr>
      <w:tr w14:paraId="3DDA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E9E9AB8">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4ACD259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7.设备设施配置</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6F8455">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3.00</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DC5600D">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提供投标人拟投入设备配置方案（设备配置清单、设备安装与调试、设备管理与维护等内容）由评标委员会进行评议,方案所包含的要点齐全、内容与要点相符、内容详实，具有可操作性的得3分；方案所包含的要点齐全、内容与要点相符，内容相对简略，具有可操作性的得2.9分；方案所包含的要点缺项，内容与要点相符，内容相对简略，可操作性不明显的得2.8分。操作性不强或未提供本项不得分。（满分3分）</w:t>
            </w:r>
          </w:p>
        </w:tc>
      </w:tr>
      <w:tr w14:paraId="7B1C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14514D53">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1</w:t>
            </w: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1C1EB2A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硬件研发实力</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A7DD57">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3.00</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882310">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投标人所投的智能快递柜具有自主研发的相关专利证明，每提供1项证书得1分，满分3分。</w:t>
            </w:r>
          </w:p>
          <w:p w14:paraId="7EA78211">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注：投标人须提供证书复印件并加盖投标人公章，若所投产品为授权使用的还需提供授权书复印件加盖公章，否则不得分。</w:t>
            </w:r>
          </w:p>
        </w:tc>
      </w:tr>
      <w:tr w14:paraId="65CA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0095BFE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2</w:t>
            </w: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492B67EF">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软件研发实力</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010677">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3.00</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01E58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投标人所投的驿站管理系统及智能包裹柜配套系统软件具有自主研发相应的著作权证书证明，每提供1项证书得1分，满分3分。</w:t>
            </w:r>
          </w:p>
          <w:p w14:paraId="46A67995">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注：投标人须提供证书复印件并加盖投标人公章</w:t>
            </w:r>
          </w:p>
        </w:tc>
      </w:tr>
      <w:tr w14:paraId="5954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066800CA">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w:t>
            </w: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18DCE597">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信息安全认证</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91E173">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5.00</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4ADD9F">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1、投标人的产品具有三级及以上有效的信息系统安全等级保护证书的，得2.5分。</w:t>
            </w:r>
          </w:p>
          <w:p w14:paraId="02C0618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注：投标人需提供所投产品有效的信息系统安全等级证书复印件，未提供的不得分。</w:t>
            </w:r>
          </w:p>
          <w:p w14:paraId="1CCB7487">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2、投标人具有有效的信息安全管理体系认证证书的，得2.5分。</w:t>
            </w:r>
          </w:p>
          <w:p w14:paraId="429B4B1F">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注：投标人需提供有效认证证书复印件，未提供的不得分。</w:t>
            </w:r>
          </w:p>
        </w:tc>
      </w:tr>
      <w:tr w14:paraId="7A52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0BC0942A">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C</w:t>
            </w:r>
          </w:p>
        </w:tc>
        <w:tc>
          <w:tcPr>
            <w:tcW w:w="7430" w:type="dxa"/>
            <w:gridSpan w:val="5"/>
            <w:tcBorders>
              <w:top w:val="single" w:color="auto" w:sz="4" w:space="0"/>
              <w:left w:val="single" w:color="auto" w:sz="4" w:space="0"/>
              <w:bottom w:val="single" w:color="auto" w:sz="4" w:space="0"/>
              <w:right w:val="single" w:color="auto" w:sz="4" w:space="0"/>
            </w:tcBorders>
            <w:vAlign w:val="center"/>
          </w:tcPr>
          <w:p w14:paraId="622062CA">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商务评分：满分18分。</w:t>
            </w:r>
          </w:p>
        </w:tc>
      </w:tr>
      <w:tr w14:paraId="0B11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58B69084">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C1</w:t>
            </w:r>
          </w:p>
        </w:tc>
        <w:tc>
          <w:tcPr>
            <w:tcW w:w="1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B37B07">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无发生重大安全事故承诺</w:t>
            </w:r>
          </w:p>
        </w:tc>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8930C6">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5.00</w:t>
            </w:r>
          </w:p>
        </w:tc>
        <w:tc>
          <w:tcPr>
            <w:tcW w:w="4907" w:type="dxa"/>
            <w:tcBorders>
              <w:top w:val="single" w:color="auto" w:sz="4" w:space="0"/>
              <w:left w:val="single" w:color="auto" w:sz="4" w:space="0"/>
              <w:bottom w:val="single" w:color="auto" w:sz="4" w:space="0"/>
              <w:right w:val="single" w:color="auto" w:sz="4" w:space="0"/>
            </w:tcBorders>
            <w:shd w:val="clear" w:color="auto" w:fill="auto"/>
            <w:vAlign w:val="top"/>
          </w:tcPr>
          <w:p w14:paraId="00E72A81">
            <w:pPr>
              <w:spacing w:line="420" w:lineRule="exact"/>
              <w:rPr>
                <w:rFonts w:hint="eastAsia" w:cs="Times New Roman" w:asciiTheme="minorEastAsia" w:hAnsiTheme="minorEastAsia" w:eastAsiaTheme="minorEastAsia"/>
                <w:bCs/>
                <w:kern w:val="0"/>
                <w:sz w:val="26"/>
                <w:szCs w:val="26"/>
                <w:lang w:val="en-US" w:eastAsia="zh-Hans"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投标人承诺在本项目投标截止时间前5年内（若投标人成立年限不足5年，提供自成立起到投标截止时间）无发生安全事故的得5分。投标人须提供承诺函，未提供的本项不得分。（满分5分）</w:t>
            </w:r>
          </w:p>
        </w:tc>
      </w:tr>
      <w:tr w14:paraId="5ADE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19681F65">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C2</w:t>
            </w:r>
          </w:p>
        </w:tc>
        <w:tc>
          <w:tcPr>
            <w:tcW w:w="1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E15BC7">
            <w:pPr>
              <w:spacing w:line="420" w:lineRule="exact"/>
              <w:rPr>
                <w:rFonts w:hint="eastAsia" w:cs="Times New Roman" w:asciiTheme="minorEastAsia" w:hAnsiTheme="minorEastAsia" w:eastAsiaTheme="minorEastAsia"/>
                <w:bCs/>
                <w:kern w:val="0"/>
                <w:sz w:val="26"/>
                <w:szCs w:val="26"/>
                <w:lang w:val="en-US" w:eastAsia="zh-Hans"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业绩</w:t>
            </w:r>
          </w:p>
        </w:tc>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92AB05">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5.00</w:t>
            </w:r>
          </w:p>
        </w:tc>
        <w:tc>
          <w:tcPr>
            <w:tcW w:w="4907" w:type="dxa"/>
            <w:tcBorders>
              <w:top w:val="single" w:color="auto" w:sz="4" w:space="0"/>
              <w:left w:val="single" w:color="auto" w:sz="4" w:space="0"/>
              <w:bottom w:val="single" w:color="auto" w:sz="4" w:space="0"/>
              <w:right w:val="single" w:color="auto" w:sz="4" w:space="0"/>
            </w:tcBorders>
            <w:shd w:val="clear" w:color="auto" w:fill="auto"/>
            <w:vAlign w:val="top"/>
          </w:tcPr>
          <w:p w14:paraId="1E9324A4">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各投标人所提供的2023年1月1日至本项目投标截止时间止（以合同日期为准）,投标人承担过同类项目（驿站服务类）业绩，每提供一份得1分，满分5分。注：需提供中标公示、中标公示网址、中标通知书、合同复印件加盖公章，不提供或者提供不全的不得分。</w:t>
            </w:r>
          </w:p>
          <w:p w14:paraId="66FF750A">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（满分3分）</w:t>
            </w:r>
          </w:p>
        </w:tc>
      </w:tr>
      <w:tr w14:paraId="2F3C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0E630167">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C3</w:t>
            </w:r>
          </w:p>
        </w:tc>
        <w:tc>
          <w:tcPr>
            <w:tcW w:w="1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2612D8">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满意度</w:t>
            </w:r>
          </w:p>
        </w:tc>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9BB7D5">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5.00</w:t>
            </w:r>
          </w:p>
        </w:tc>
        <w:tc>
          <w:tcPr>
            <w:tcW w:w="4907" w:type="dxa"/>
            <w:tcBorders>
              <w:top w:val="single" w:color="auto" w:sz="4" w:space="0"/>
              <w:left w:val="single" w:color="auto" w:sz="4" w:space="0"/>
              <w:bottom w:val="single" w:color="auto" w:sz="4" w:space="0"/>
              <w:right w:val="single" w:color="auto" w:sz="4" w:space="0"/>
            </w:tcBorders>
            <w:shd w:val="clear" w:color="auto" w:fill="auto"/>
            <w:vAlign w:val="center"/>
          </w:tcPr>
          <w:p w14:paraId="147AFA6F">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供应商提供2023年1月1日起至本项目递交首次响应文件截止时间止（日期以合同签订时间为准），所完成的同类项目的满意度评价情况，由评委进行评分：每提供一份评价意见为肯定性意见（评价为优秀（很满意）、良好（满意）的，或100分制，所得分数达到85分（含）以上的）证明的得1分，满分5分。需提供采购人出具的服务评价证明材料及合同复印件。注：C3与C2若提供同一证明材料不重复计分。</w:t>
            </w:r>
          </w:p>
        </w:tc>
      </w:tr>
      <w:tr w14:paraId="2D4D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5CB20BD3">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C4</w:t>
            </w:r>
          </w:p>
        </w:tc>
        <w:tc>
          <w:tcPr>
            <w:tcW w:w="1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18C5B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售后服务方案</w:t>
            </w:r>
          </w:p>
        </w:tc>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366CE4">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3.00</w:t>
            </w:r>
          </w:p>
        </w:tc>
        <w:tc>
          <w:tcPr>
            <w:tcW w:w="4907" w:type="dxa"/>
            <w:tcBorders>
              <w:top w:val="single" w:color="auto" w:sz="4" w:space="0"/>
              <w:left w:val="single" w:color="auto" w:sz="4" w:space="0"/>
              <w:bottom w:val="single" w:color="auto" w:sz="4" w:space="0"/>
              <w:right w:val="single" w:color="auto" w:sz="4" w:space="0"/>
            </w:tcBorders>
            <w:shd w:val="clear" w:color="auto" w:fill="auto"/>
            <w:vAlign w:val="top"/>
          </w:tcPr>
          <w:p w14:paraId="1AB1A05C">
            <w:pPr>
              <w:spacing w:line="420" w:lineRule="exact"/>
              <w:rPr>
                <w:rFonts w:hint="eastAsia" w:cs="Times New Roman" w:asciiTheme="minorEastAsia" w:hAnsiTheme="minorEastAsia" w:eastAsiaTheme="minorEastAsia"/>
                <w:bCs/>
                <w:kern w:val="0"/>
                <w:sz w:val="26"/>
                <w:szCs w:val="26"/>
                <w:lang w:val="en-US" w:eastAsia="zh-Hans"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根据投标人提供的售后服务方案（包括</w:t>
            </w:r>
            <w:r>
              <w:rPr>
                <w:rFonts w:hint="eastAsia" w:cs="Times New Roman" w:asciiTheme="minorEastAsia" w:hAnsiTheme="minorEastAsia" w:eastAsiaTheme="minorEastAsia"/>
                <w:bCs/>
                <w:kern w:val="0"/>
                <w:sz w:val="26"/>
                <w:szCs w:val="26"/>
                <w:lang w:val="zh-CN" w:eastAsia="zh-CN" w:bidi="ar-SA"/>
                <w14:ligatures w14:val="standardContextual"/>
              </w:rPr>
              <w:t>损件丢件</w:t>
            </w:r>
            <w:r>
              <w:rPr>
                <w:rFonts w:hint="eastAsia" w:cs="Times New Roman" w:asciiTheme="minorEastAsia" w:hAnsiTheme="minorEastAsia" w:eastAsiaTheme="minorEastAsia"/>
                <w:bCs/>
                <w:kern w:val="0"/>
                <w:sz w:val="26"/>
                <w:szCs w:val="26"/>
                <w:lang w:val="en-US" w:eastAsia="zh-CN" w:bidi="ar-SA"/>
                <w14:ligatures w14:val="standardContextual"/>
              </w:rPr>
              <w:t>的赔偿措施等内容），由评标委员会进行评议,方案所包含的要点齐全、内容与要点相符、内容详实，具有可操作性的得3分；方案所包含的要点齐全、内容与要点相符，内容相对简略，具有可操作性的得2.9分；方案所包含的要点缺项，内容与要点相符，内容相对简略，可操作性不明显的得2.8分。操作性不强或未提供本项不得分。（满分3分）</w:t>
            </w:r>
          </w:p>
        </w:tc>
      </w:tr>
    </w:tbl>
    <w:p w14:paraId="2D093254">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p w14:paraId="7540E55F">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p w14:paraId="2BF73F36">
      <w:pPr>
        <w:pStyle w:val="11"/>
      </w:pPr>
    </w:p>
    <w:p w14:paraId="009B5832">
      <w:pPr>
        <w:pStyle w:val="11"/>
      </w:pPr>
    </w:p>
    <w:p w14:paraId="5F438A75">
      <w:pPr>
        <w:pStyle w:val="11"/>
      </w:pPr>
    </w:p>
    <w:p w14:paraId="0918B7FF">
      <w:pPr>
        <w:pStyle w:val="11"/>
      </w:pPr>
    </w:p>
    <w:p w14:paraId="075BFF3B">
      <w:pPr>
        <w:pStyle w:val="11"/>
      </w:pPr>
    </w:p>
    <w:p w14:paraId="5DBBE43E">
      <w:pPr>
        <w:pStyle w:val="11"/>
      </w:pPr>
    </w:p>
    <w:p w14:paraId="553BE7AD">
      <w:pPr>
        <w:pStyle w:val="11"/>
      </w:pPr>
    </w:p>
    <w:p w14:paraId="5B0E2E73">
      <w:pPr>
        <w:pStyle w:val="11"/>
      </w:pPr>
    </w:p>
    <w:p w14:paraId="618265F1">
      <w:pPr>
        <w:pStyle w:val="11"/>
      </w:pPr>
    </w:p>
    <w:p w14:paraId="2EBB311C">
      <w:pPr>
        <w:pStyle w:val="11"/>
      </w:pPr>
    </w:p>
    <w:p w14:paraId="3D88FABB">
      <w:pPr>
        <w:ind w:firstLine="3357" w:firstLineChars="1045"/>
        <w:rPr>
          <w:rFonts w:ascii="宋体" w:hAnsi="宋体" w:eastAsia="仿宋_GB2312"/>
          <w:b/>
          <w:sz w:val="32"/>
          <w:szCs w:val="32"/>
        </w:rPr>
      </w:pPr>
    </w:p>
    <w:p w14:paraId="5EE4B5CE">
      <w:pPr>
        <w:ind w:firstLine="3357" w:firstLineChars="1045"/>
        <w:rPr>
          <w:rFonts w:hint="eastAsia" w:ascii="宋体" w:hAnsi="宋体" w:eastAsia="仿宋_GB2312"/>
          <w:b/>
          <w:sz w:val="32"/>
          <w:szCs w:val="32"/>
        </w:rPr>
      </w:pPr>
    </w:p>
    <w:p w14:paraId="4E2E0118">
      <w:pPr>
        <w:ind w:firstLine="3357" w:firstLineChars="1045"/>
        <w:rPr>
          <w:rFonts w:hint="eastAsia" w:ascii="宋体" w:hAnsi="宋体" w:eastAsia="仿宋_GB2312"/>
          <w:b/>
          <w:sz w:val="32"/>
          <w:szCs w:val="32"/>
        </w:rPr>
      </w:pPr>
    </w:p>
    <w:p w14:paraId="447E725B">
      <w:pPr>
        <w:ind w:firstLine="3357" w:firstLineChars="1045"/>
        <w:rPr>
          <w:rFonts w:hint="eastAsia" w:ascii="宋体" w:hAnsi="宋体" w:eastAsia="仿宋_GB2312"/>
          <w:b/>
          <w:sz w:val="32"/>
          <w:szCs w:val="32"/>
        </w:rPr>
      </w:pPr>
    </w:p>
    <w:p w14:paraId="194FB6AB">
      <w:pPr>
        <w:ind w:firstLine="3357" w:firstLineChars="1045"/>
        <w:rPr>
          <w:rFonts w:hint="eastAsia" w:ascii="宋体" w:hAnsi="宋体" w:eastAsia="仿宋_GB2312"/>
          <w:b/>
          <w:sz w:val="32"/>
          <w:szCs w:val="32"/>
        </w:rPr>
      </w:pPr>
    </w:p>
    <w:p w14:paraId="34895DBD">
      <w:pPr>
        <w:ind w:firstLine="3357" w:firstLineChars="1045"/>
        <w:rPr>
          <w:rFonts w:hint="eastAsia" w:ascii="宋体" w:hAnsi="宋体" w:eastAsia="仿宋_GB2312"/>
          <w:b/>
          <w:sz w:val="32"/>
          <w:szCs w:val="32"/>
        </w:rPr>
      </w:pPr>
    </w:p>
    <w:p w14:paraId="6C8F45E7">
      <w:pPr>
        <w:ind w:firstLine="3357" w:firstLineChars="1045"/>
        <w:rPr>
          <w:rFonts w:hint="eastAsia" w:ascii="宋体" w:hAnsi="宋体" w:eastAsia="仿宋_GB2312"/>
          <w:b/>
          <w:sz w:val="32"/>
          <w:szCs w:val="32"/>
        </w:rPr>
      </w:pPr>
    </w:p>
    <w:p w14:paraId="7C12DC11">
      <w:pPr>
        <w:ind w:firstLine="3357" w:firstLineChars="1045"/>
        <w:rPr>
          <w:rFonts w:hint="eastAsia" w:ascii="宋体" w:hAnsi="宋体" w:eastAsia="仿宋_GB2312"/>
          <w:b/>
          <w:sz w:val="32"/>
          <w:szCs w:val="32"/>
        </w:rPr>
      </w:pPr>
    </w:p>
    <w:p w14:paraId="1644CAE1">
      <w:pPr>
        <w:rPr>
          <w:rFonts w:hint="eastAsia" w:ascii="宋体" w:hAnsi="宋体" w:eastAsia="仿宋_GB2312"/>
          <w:b/>
          <w:sz w:val="32"/>
          <w:szCs w:val="32"/>
        </w:rPr>
      </w:pPr>
      <w:r>
        <w:rPr>
          <w:rFonts w:hint="eastAsia" w:ascii="宋体" w:hAnsi="宋体" w:eastAsia="仿宋_GB2312"/>
          <w:b/>
          <w:sz w:val="32"/>
          <w:szCs w:val="32"/>
        </w:rPr>
        <w:br w:type="page"/>
      </w:r>
    </w:p>
    <w:p w14:paraId="083C7FB3">
      <w:pPr>
        <w:ind w:firstLine="3357" w:firstLineChars="1045"/>
        <w:rPr>
          <w:rFonts w:ascii="宋体" w:hAnsi="宋体" w:eastAsia="仿宋_GB2312"/>
          <w:b/>
          <w:sz w:val="32"/>
          <w:szCs w:val="32"/>
        </w:rPr>
      </w:pPr>
      <w:r>
        <w:rPr>
          <w:rFonts w:hint="eastAsia" w:ascii="宋体" w:hAnsi="宋体" w:eastAsia="仿宋_GB2312"/>
          <w:b/>
          <w:sz w:val="32"/>
          <w:szCs w:val="32"/>
        </w:rPr>
        <w:t>响应文件格式</w:t>
      </w:r>
    </w:p>
    <w:p w14:paraId="491429C1">
      <w:pPr>
        <w:rPr>
          <w:rFonts w:ascii="宋体" w:hAnsi="宋体" w:eastAsia="仿宋_GB2312"/>
          <w:b/>
          <w:sz w:val="32"/>
          <w:szCs w:val="32"/>
        </w:rPr>
      </w:pPr>
    </w:p>
    <w:p w14:paraId="35CE5358">
      <w:pPr>
        <w:jc w:val="center"/>
        <w:rPr>
          <w:b/>
          <w:sz w:val="32"/>
          <w:szCs w:val="32"/>
        </w:rPr>
      </w:pPr>
    </w:p>
    <w:p w14:paraId="51C6A5B6">
      <w:pPr>
        <w:jc w:val="center"/>
        <w:rPr>
          <w:b/>
          <w:sz w:val="32"/>
          <w:szCs w:val="32"/>
        </w:rPr>
      </w:pPr>
      <w:r>
        <w:rPr>
          <w:rFonts w:hint="eastAsia"/>
          <w:b/>
          <w:sz w:val="32"/>
          <w:szCs w:val="32"/>
        </w:rPr>
        <w:t>一、投标书</w:t>
      </w:r>
    </w:p>
    <w:p w14:paraId="3D32F9D4">
      <w:pPr>
        <w:rPr>
          <w:sz w:val="24"/>
        </w:rPr>
      </w:pPr>
      <w:r>
        <w:rPr>
          <w:rFonts w:hint="eastAsia"/>
          <w:sz w:val="24"/>
        </w:rPr>
        <w:t>福建省肿瘤医院</w:t>
      </w:r>
    </w:p>
    <w:p w14:paraId="01B8D973">
      <w:pPr>
        <w:rPr>
          <w:sz w:val="24"/>
        </w:rPr>
      </w:pPr>
      <w:r>
        <w:rPr>
          <w:rFonts w:hint="eastAsia"/>
          <w:sz w:val="24"/>
        </w:rPr>
        <w:t>1、根据你方项目的投标/磋商/谈判邀请，遵照有关规定，经踏勘项目现场和研究上述磋商文件及其他有关文件后，我方愿以附件中“投标报价清单”的报价并按招标/磋商/谈判文件等要求承包上述项目，并承担任何质量缺陷保修责任。</w:t>
      </w:r>
    </w:p>
    <w:p w14:paraId="0E90A7ED">
      <w:pPr>
        <w:ind w:firstLine="456" w:firstLineChars="190"/>
        <w:rPr>
          <w:sz w:val="24"/>
        </w:rPr>
      </w:pPr>
      <w:r>
        <w:rPr>
          <w:rFonts w:hint="eastAsia"/>
          <w:sz w:val="24"/>
        </w:rPr>
        <w:t>2、我方已详细审核全部招标/磋商/谈判文件及有关附件。</w:t>
      </w:r>
    </w:p>
    <w:p w14:paraId="24E0FAE9">
      <w:pPr>
        <w:ind w:firstLine="456" w:firstLineChars="190"/>
        <w:rPr>
          <w:sz w:val="24"/>
        </w:rPr>
      </w:pPr>
      <w:r>
        <w:rPr>
          <w:rFonts w:hint="eastAsia"/>
          <w:sz w:val="24"/>
        </w:rPr>
        <w:t>3、一旦我方中标，我方保证质量达到招标/磋商/谈判</w:t>
      </w:r>
      <w:r>
        <w:rPr>
          <w:rFonts w:hint="eastAsia"/>
          <w:b/>
          <w:sz w:val="24"/>
          <w:u w:val="single"/>
        </w:rPr>
        <w:t>文件、</w:t>
      </w:r>
      <w:r>
        <w:rPr>
          <w:rFonts w:hint="eastAsia"/>
          <w:sz w:val="24"/>
        </w:rPr>
        <w:t>投标/</w:t>
      </w:r>
      <w:r>
        <w:rPr>
          <w:rFonts w:hint="eastAsia"/>
          <w:b/>
          <w:sz w:val="24"/>
          <w:u w:val="single"/>
        </w:rPr>
        <w:t>响应文件等规定</w:t>
      </w:r>
      <w:r>
        <w:rPr>
          <w:rFonts w:hint="eastAsia"/>
          <w:sz w:val="24"/>
        </w:rPr>
        <w:t>标准。</w:t>
      </w:r>
    </w:p>
    <w:p w14:paraId="5EE3763E">
      <w:pPr>
        <w:ind w:firstLine="456" w:firstLineChars="190"/>
        <w:rPr>
          <w:sz w:val="24"/>
        </w:rPr>
      </w:pPr>
      <w:r>
        <w:rPr>
          <w:rFonts w:hint="eastAsia"/>
          <w:sz w:val="24"/>
        </w:rPr>
        <w:t>4、我方同意所提交的投标/响应文件的有效期为120天，在此期间内如果中标/成交，我方将受此约束。</w:t>
      </w:r>
    </w:p>
    <w:p w14:paraId="7E041E4A">
      <w:pPr>
        <w:ind w:firstLine="426"/>
        <w:rPr>
          <w:sz w:val="24"/>
        </w:rPr>
      </w:pPr>
      <w:r>
        <w:rPr>
          <w:rFonts w:hint="eastAsia"/>
          <w:sz w:val="24"/>
        </w:rPr>
        <w:t>5、除非另外达成协议并生效，你方的中标/成交通知书和本投标/响应文件将成为约束双方的合同文件的组成部分。</w:t>
      </w:r>
    </w:p>
    <w:p w14:paraId="15392787">
      <w:pPr>
        <w:ind w:firstLine="480" w:firstLineChars="200"/>
        <w:rPr>
          <w:sz w:val="24"/>
        </w:rPr>
      </w:pPr>
      <w:r>
        <w:rPr>
          <w:rFonts w:hint="eastAsia"/>
          <w:sz w:val="24"/>
        </w:rPr>
        <w:t>附件：报价清单</w:t>
      </w:r>
    </w:p>
    <w:p w14:paraId="7121892B">
      <w:pPr>
        <w:ind w:firstLine="2760" w:firstLineChars="1150"/>
        <w:rPr>
          <w:sz w:val="24"/>
        </w:rPr>
      </w:pPr>
      <w:r>
        <w:rPr>
          <w:rFonts w:hint="eastAsia"/>
          <w:sz w:val="24"/>
        </w:rPr>
        <w:t>供应商（盖章）：</w:t>
      </w:r>
    </w:p>
    <w:p w14:paraId="03F63F32">
      <w:pPr>
        <w:rPr>
          <w:sz w:val="24"/>
        </w:rPr>
      </w:pPr>
    </w:p>
    <w:p w14:paraId="6292A2DA">
      <w:pPr>
        <w:ind w:firstLine="2760" w:firstLineChars="1150"/>
        <w:rPr>
          <w:sz w:val="24"/>
        </w:rPr>
      </w:pPr>
      <w:r>
        <w:rPr>
          <w:rFonts w:hint="eastAsia"/>
          <w:sz w:val="24"/>
        </w:rPr>
        <w:t>单位地址：</w:t>
      </w:r>
    </w:p>
    <w:p w14:paraId="7BB1AE0F">
      <w:pPr>
        <w:rPr>
          <w:sz w:val="24"/>
        </w:rPr>
      </w:pPr>
    </w:p>
    <w:p w14:paraId="35D4CFD5">
      <w:pPr>
        <w:ind w:firstLine="2760" w:firstLineChars="1150"/>
        <w:rPr>
          <w:sz w:val="24"/>
        </w:rPr>
      </w:pPr>
      <w:r>
        <w:rPr>
          <w:rFonts w:hint="eastAsia"/>
          <w:sz w:val="24"/>
        </w:rPr>
        <w:t>法定代表人（签字或盖章）：</w:t>
      </w:r>
    </w:p>
    <w:p w14:paraId="64B866B6">
      <w:pPr>
        <w:rPr>
          <w:sz w:val="24"/>
        </w:rPr>
      </w:pPr>
    </w:p>
    <w:p w14:paraId="4252FBFC">
      <w:pPr>
        <w:ind w:firstLine="2760" w:firstLineChars="1150"/>
        <w:rPr>
          <w:sz w:val="24"/>
        </w:rPr>
      </w:pPr>
      <w:r>
        <w:rPr>
          <w:rFonts w:hint="eastAsia"/>
          <w:sz w:val="24"/>
        </w:rPr>
        <w:t>邮政编码：电话：传真：</w:t>
      </w:r>
    </w:p>
    <w:p w14:paraId="1DD244B2">
      <w:pPr>
        <w:rPr>
          <w:sz w:val="24"/>
        </w:rPr>
      </w:pPr>
    </w:p>
    <w:p w14:paraId="2520900D">
      <w:pPr>
        <w:ind w:firstLine="600"/>
        <w:rPr>
          <w:sz w:val="24"/>
        </w:rPr>
      </w:pPr>
    </w:p>
    <w:p w14:paraId="7DC53321">
      <w:pPr>
        <w:ind w:firstLine="5160" w:firstLineChars="2150"/>
        <w:rPr>
          <w:sz w:val="18"/>
          <w:szCs w:val="18"/>
          <w:u w:val="single"/>
        </w:rPr>
      </w:pPr>
      <w:r>
        <w:rPr>
          <w:rFonts w:hint="eastAsia"/>
          <w:sz w:val="24"/>
        </w:rPr>
        <w:t>日期：年月日</w:t>
      </w:r>
      <w:r>
        <w:rPr>
          <w:rFonts w:hint="eastAsia"/>
          <w:sz w:val="24"/>
        </w:rPr>
        <w:br w:type="page"/>
      </w:r>
    </w:p>
    <w:p w14:paraId="789EA6CA">
      <w:pPr>
        <w:tabs>
          <w:tab w:val="left" w:pos="360"/>
        </w:tabs>
        <w:snapToGrid w:val="0"/>
        <w:spacing w:line="400" w:lineRule="exact"/>
        <w:ind w:left="360"/>
        <w:jc w:val="left"/>
        <w:rPr>
          <w:sz w:val="28"/>
          <w:szCs w:val="28"/>
        </w:rPr>
      </w:pPr>
    </w:p>
    <w:p w14:paraId="0637EED2">
      <w:pPr>
        <w:jc w:val="center"/>
        <w:rPr>
          <w:b/>
          <w:sz w:val="32"/>
          <w:szCs w:val="32"/>
        </w:rPr>
      </w:pPr>
      <w:r>
        <w:rPr>
          <w:rFonts w:hint="eastAsia"/>
          <w:b/>
          <w:sz w:val="32"/>
          <w:szCs w:val="32"/>
        </w:rPr>
        <w:t>最终报价表</w:t>
      </w:r>
    </w:p>
    <w:p w14:paraId="3B30D89E">
      <w:pPr>
        <w:tabs>
          <w:tab w:val="left" w:pos="360"/>
        </w:tabs>
        <w:snapToGrid w:val="0"/>
        <w:spacing w:line="400" w:lineRule="exact"/>
        <w:ind w:left="360"/>
        <w:jc w:val="left"/>
        <w:rPr>
          <w:rFonts w:ascii="宋体" w:hAnsi="宋体" w:cs="Arial"/>
          <w:sz w:val="24"/>
        </w:rPr>
      </w:pPr>
      <w:r>
        <w:rPr>
          <w:rFonts w:hint="eastAsia"/>
          <w:sz w:val="28"/>
          <w:szCs w:val="28"/>
        </w:rPr>
        <w:t>我司愿意以总价（大写人民币）：整承接本项目。</w:t>
      </w:r>
      <w:r>
        <w:rPr>
          <w:rFonts w:hint="eastAsia" w:ascii="宋体" w:hAnsi="宋体" w:cs="Arial"/>
          <w:sz w:val="24"/>
        </w:rPr>
        <w:t>包含完成本项目服务所需一切费用的含税包干报价</w:t>
      </w:r>
    </w:p>
    <w:p w14:paraId="72D3F521">
      <w:pPr>
        <w:tabs>
          <w:tab w:val="left" w:pos="360"/>
        </w:tabs>
        <w:snapToGrid w:val="0"/>
        <w:spacing w:line="400" w:lineRule="exact"/>
        <w:ind w:left="360"/>
        <w:jc w:val="left"/>
        <w:rPr>
          <w:sz w:val="28"/>
          <w:szCs w:val="28"/>
        </w:rPr>
      </w:pPr>
      <w:r>
        <w:rPr>
          <w:rFonts w:hint="eastAsia"/>
          <w:sz w:val="28"/>
          <w:szCs w:val="28"/>
        </w:rPr>
        <w:t>清单</w:t>
      </w:r>
    </w:p>
    <w:tbl>
      <w:tblPr>
        <w:tblStyle w:val="20"/>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1650"/>
        <w:gridCol w:w="1598"/>
        <w:gridCol w:w="1598"/>
        <w:gridCol w:w="1598"/>
      </w:tblGrid>
      <w:tr w14:paraId="0C3C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1" w:type="dxa"/>
            <w:tcBorders>
              <w:top w:val="single" w:color="auto" w:sz="4" w:space="0"/>
              <w:left w:val="single" w:color="auto" w:sz="4" w:space="0"/>
              <w:bottom w:val="single" w:color="auto" w:sz="4" w:space="0"/>
              <w:right w:val="single" w:color="auto" w:sz="4" w:space="0"/>
            </w:tcBorders>
            <w:vAlign w:val="center"/>
          </w:tcPr>
          <w:p w14:paraId="60816164">
            <w:pPr>
              <w:widowControl/>
              <w:jc w:val="center"/>
              <w:textAlignment w:val="center"/>
              <w:rPr>
                <w:rFonts w:ascii="宋体" w:hAnsi="宋体" w:cs="宋体"/>
                <w:kern w:val="0"/>
                <w:sz w:val="20"/>
                <w:szCs w:val="20"/>
              </w:rPr>
            </w:pPr>
            <w:r>
              <w:rPr>
                <w:rFonts w:hint="eastAsia" w:ascii="宋体" w:hAnsi="宋体" w:cs="宋体"/>
                <w:kern w:val="0"/>
                <w:sz w:val="20"/>
                <w:szCs w:val="20"/>
              </w:rPr>
              <w:t>品名</w:t>
            </w:r>
          </w:p>
        </w:tc>
        <w:tc>
          <w:tcPr>
            <w:tcW w:w="1650" w:type="dxa"/>
            <w:tcBorders>
              <w:top w:val="single" w:color="auto" w:sz="4" w:space="0"/>
              <w:left w:val="single" w:color="auto" w:sz="4" w:space="0"/>
              <w:bottom w:val="single" w:color="auto" w:sz="4" w:space="0"/>
              <w:right w:val="single" w:color="auto" w:sz="4" w:space="0"/>
            </w:tcBorders>
            <w:vAlign w:val="center"/>
          </w:tcPr>
          <w:p w14:paraId="6078A19C">
            <w:pPr>
              <w:widowControl/>
              <w:jc w:val="center"/>
              <w:textAlignment w:val="center"/>
              <w:rPr>
                <w:rFonts w:ascii="宋体" w:hAnsi="宋体" w:cs="宋体"/>
                <w:kern w:val="0"/>
                <w:sz w:val="20"/>
                <w:szCs w:val="20"/>
              </w:rPr>
            </w:pPr>
            <w:r>
              <w:rPr>
                <w:rFonts w:hint="eastAsia" w:ascii="宋体" w:hAnsi="宋体" w:cs="宋体"/>
                <w:kern w:val="0"/>
                <w:sz w:val="20"/>
                <w:szCs w:val="20"/>
              </w:rPr>
              <w:t>数量</w:t>
            </w:r>
          </w:p>
        </w:tc>
        <w:tc>
          <w:tcPr>
            <w:tcW w:w="1598" w:type="dxa"/>
            <w:tcBorders>
              <w:top w:val="single" w:color="auto" w:sz="4" w:space="0"/>
              <w:left w:val="single" w:color="auto" w:sz="4" w:space="0"/>
              <w:bottom w:val="single" w:color="auto" w:sz="4" w:space="0"/>
              <w:right w:val="single" w:color="auto" w:sz="4" w:space="0"/>
            </w:tcBorders>
            <w:vAlign w:val="center"/>
          </w:tcPr>
          <w:p w14:paraId="20E077AB">
            <w:pPr>
              <w:tabs>
                <w:tab w:val="left" w:pos="360"/>
              </w:tabs>
              <w:snapToGrid w:val="0"/>
              <w:spacing w:line="400" w:lineRule="exact"/>
              <w:jc w:val="center"/>
              <w:rPr>
                <w:kern w:val="2"/>
                <w:sz w:val="24"/>
              </w:rPr>
            </w:pPr>
            <w:r>
              <w:rPr>
                <w:rFonts w:hint="eastAsia"/>
                <w:kern w:val="0"/>
                <w:sz w:val="24"/>
              </w:rPr>
              <w:t>规格</w:t>
            </w:r>
          </w:p>
        </w:tc>
        <w:tc>
          <w:tcPr>
            <w:tcW w:w="1598" w:type="dxa"/>
            <w:tcBorders>
              <w:top w:val="single" w:color="auto" w:sz="4" w:space="0"/>
              <w:left w:val="single" w:color="auto" w:sz="4" w:space="0"/>
              <w:bottom w:val="single" w:color="auto" w:sz="4" w:space="0"/>
              <w:right w:val="single" w:color="auto" w:sz="4" w:space="0"/>
            </w:tcBorders>
            <w:vAlign w:val="center"/>
          </w:tcPr>
          <w:p w14:paraId="5A49A7C4">
            <w:pPr>
              <w:tabs>
                <w:tab w:val="left" w:pos="360"/>
              </w:tabs>
              <w:snapToGrid w:val="0"/>
              <w:spacing w:line="400" w:lineRule="exact"/>
              <w:jc w:val="center"/>
              <w:rPr>
                <w:kern w:val="0"/>
                <w:sz w:val="24"/>
              </w:rPr>
            </w:pPr>
            <w:r>
              <w:rPr>
                <w:rFonts w:hint="eastAsia"/>
                <w:kern w:val="0"/>
                <w:sz w:val="24"/>
              </w:rPr>
              <w:t>单价</w:t>
            </w:r>
          </w:p>
        </w:tc>
        <w:tc>
          <w:tcPr>
            <w:tcW w:w="1598" w:type="dxa"/>
            <w:tcBorders>
              <w:top w:val="single" w:color="auto" w:sz="4" w:space="0"/>
              <w:left w:val="single" w:color="auto" w:sz="4" w:space="0"/>
              <w:bottom w:val="single" w:color="auto" w:sz="4" w:space="0"/>
              <w:right w:val="single" w:color="auto" w:sz="4" w:space="0"/>
            </w:tcBorders>
            <w:vAlign w:val="center"/>
          </w:tcPr>
          <w:p w14:paraId="4778F75D">
            <w:pPr>
              <w:tabs>
                <w:tab w:val="left" w:pos="360"/>
              </w:tabs>
              <w:snapToGrid w:val="0"/>
              <w:spacing w:line="400" w:lineRule="exact"/>
              <w:jc w:val="center"/>
              <w:rPr>
                <w:kern w:val="0"/>
                <w:sz w:val="24"/>
              </w:rPr>
            </w:pPr>
            <w:r>
              <w:rPr>
                <w:rFonts w:hint="eastAsia"/>
                <w:kern w:val="0"/>
                <w:sz w:val="24"/>
              </w:rPr>
              <w:t>合计</w:t>
            </w:r>
          </w:p>
        </w:tc>
      </w:tr>
      <w:tr w14:paraId="2C51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1" w:type="dxa"/>
            <w:tcBorders>
              <w:top w:val="single" w:color="auto" w:sz="4" w:space="0"/>
              <w:left w:val="single" w:color="auto" w:sz="4" w:space="0"/>
              <w:bottom w:val="single" w:color="auto" w:sz="4" w:space="0"/>
              <w:right w:val="single" w:color="auto" w:sz="4" w:space="0"/>
            </w:tcBorders>
            <w:vAlign w:val="center"/>
          </w:tcPr>
          <w:p w14:paraId="638CE47D">
            <w:pPr>
              <w:jc w:val="center"/>
              <w:rPr>
                <w:rFonts w:ascii="宋体" w:hAnsi="宋体"/>
                <w:b/>
                <w:kern w:val="0"/>
                <w:sz w:val="24"/>
              </w:rPr>
            </w:pPr>
          </w:p>
        </w:tc>
        <w:tc>
          <w:tcPr>
            <w:tcW w:w="1650" w:type="dxa"/>
            <w:tcBorders>
              <w:top w:val="single" w:color="auto" w:sz="4" w:space="0"/>
              <w:left w:val="single" w:color="auto" w:sz="4" w:space="0"/>
              <w:bottom w:val="single" w:color="auto" w:sz="4" w:space="0"/>
              <w:right w:val="single" w:color="auto" w:sz="4" w:space="0"/>
            </w:tcBorders>
            <w:vAlign w:val="center"/>
          </w:tcPr>
          <w:p w14:paraId="76F56E28">
            <w:pPr>
              <w:widowControl/>
              <w:jc w:val="center"/>
              <w:textAlignment w:val="center"/>
              <w:rPr>
                <w:kern w:val="0"/>
                <w:sz w:val="21"/>
              </w:rPr>
            </w:pPr>
          </w:p>
        </w:tc>
        <w:tc>
          <w:tcPr>
            <w:tcW w:w="1598" w:type="dxa"/>
            <w:tcBorders>
              <w:top w:val="single" w:color="auto" w:sz="4" w:space="0"/>
              <w:left w:val="single" w:color="auto" w:sz="4" w:space="0"/>
              <w:bottom w:val="single" w:color="auto" w:sz="4" w:space="0"/>
              <w:right w:val="single" w:color="auto" w:sz="4" w:space="0"/>
            </w:tcBorders>
            <w:vAlign w:val="center"/>
          </w:tcPr>
          <w:p w14:paraId="45C79747">
            <w:pPr>
              <w:widowControl/>
              <w:jc w:val="center"/>
              <w:textAlignment w:val="center"/>
              <w:rPr>
                <w:rFonts w:ascii="宋体" w:hAnsi="宋体" w:cs="宋体"/>
                <w:kern w:val="0"/>
                <w:sz w:val="20"/>
                <w:szCs w:val="20"/>
              </w:rPr>
            </w:pPr>
          </w:p>
        </w:tc>
        <w:tc>
          <w:tcPr>
            <w:tcW w:w="1598" w:type="dxa"/>
            <w:tcBorders>
              <w:top w:val="single" w:color="auto" w:sz="4" w:space="0"/>
              <w:left w:val="single" w:color="auto" w:sz="4" w:space="0"/>
              <w:bottom w:val="single" w:color="auto" w:sz="4" w:space="0"/>
              <w:right w:val="single" w:color="auto" w:sz="4" w:space="0"/>
            </w:tcBorders>
            <w:vAlign w:val="center"/>
          </w:tcPr>
          <w:p w14:paraId="5B088831">
            <w:pPr>
              <w:tabs>
                <w:tab w:val="left" w:pos="360"/>
              </w:tabs>
              <w:snapToGrid w:val="0"/>
              <w:spacing w:line="400" w:lineRule="exact"/>
              <w:jc w:val="center"/>
              <w:rPr>
                <w:kern w:val="0"/>
                <w:sz w:val="24"/>
              </w:rPr>
            </w:pPr>
          </w:p>
        </w:tc>
        <w:tc>
          <w:tcPr>
            <w:tcW w:w="1598" w:type="dxa"/>
            <w:tcBorders>
              <w:top w:val="single" w:color="auto" w:sz="4" w:space="0"/>
              <w:left w:val="single" w:color="auto" w:sz="4" w:space="0"/>
              <w:bottom w:val="single" w:color="auto" w:sz="4" w:space="0"/>
              <w:right w:val="single" w:color="auto" w:sz="4" w:space="0"/>
            </w:tcBorders>
            <w:vAlign w:val="center"/>
          </w:tcPr>
          <w:p w14:paraId="75C8F03F">
            <w:pPr>
              <w:tabs>
                <w:tab w:val="left" w:pos="360"/>
              </w:tabs>
              <w:snapToGrid w:val="0"/>
              <w:spacing w:line="400" w:lineRule="exact"/>
              <w:jc w:val="center"/>
              <w:rPr>
                <w:kern w:val="0"/>
                <w:sz w:val="24"/>
              </w:rPr>
            </w:pPr>
          </w:p>
        </w:tc>
      </w:tr>
      <w:tr w14:paraId="1369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8095" w:type="dxa"/>
            <w:gridSpan w:val="5"/>
            <w:tcBorders>
              <w:top w:val="single" w:color="auto" w:sz="4" w:space="0"/>
              <w:left w:val="single" w:color="auto" w:sz="4" w:space="0"/>
              <w:bottom w:val="single" w:color="auto" w:sz="4" w:space="0"/>
              <w:right w:val="single" w:color="auto" w:sz="4" w:space="0"/>
            </w:tcBorders>
            <w:vAlign w:val="center"/>
          </w:tcPr>
          <w:p w14:paraId="0443818D">
            <w:pPr>
              <w:tabs>
                <w:tab w:val="left" w:pos="360"/>
              </w:tabs>
              <w:snapToGrid w:val="0"/>
              <w:spacing w:line="400" w:lineRule="exact"/>
              <w:rPr>
                <w:kern w:val="0"/>
                <w:sz w:val="24"/>
              </w:rPr>
            </w:pPr>
            <w:r>
              <w:rPr>
                <w:rFonts w:hint="eastAsia"/>
                <w:kern w:val="0"/>
                <w:sz w:val="28"/>
                <w:szCs w:val="28"/>
              </w:rPr>
              <w:t>总价（大写人民币）：</w:t>
            </w:r>
          </w:p>
        </w:tc>
      </w:tr>
    </w:tbl>
    <w:p w14:paraId="285E1155">
      <w:pPr>
        <w:jc w:val="left"/>
        <w:rPr>
          <w:sz w:val="24"/>
        </w:rPr>
      </w:pPr>
      <w:r>
        <w:rPr>
          <w:rFonts w:hint="eastAsia"/>
          <w:sz w:val="24"/>
        </w:rPr>
        <w:t>备注：以上表格请供应商根据需要自行修改。</w:t>
      </w:r>
    </w:p>
    <w:p w14:paraId="648E9B88">
      <w:pPr>
        <w:ind w:firstLine="2760" w:firstLineChars="1150"/>
        <w:rPr>
          <w:sz w:val="24"/>
        </w:rPr>
      </w:pPr>
    </w:p>
    <w:p w14:paraId="6CF6E2B8">
      <w:pPr>
        <w:ind w:firstLine="2760" w:firstLineChars="1150"/>
        <w:rPr>
          <w:sz w:val="24"/>
        </w:rPr>
      </w:pPr>
      <w:r>
        <w:rPr>
          <w:rFonts w:hint="eastAsia"/>
          <w:sz w:val="24"/>
        </w:rPr>
        <w:t>供应商（盖章）：</w:t>
      </w:r>
    </w:p>
    <w:p w14:paraId="06B125E6">
      <w:pPr>
        <w:rPr>
          <w:sz w:val="24"/>
        </w:rPr>
      </w:pPr>
    </w:p>
    <w:p w14:paraId="034DA5DE">
      <w:pPr>
        <w:ind w:firstLine="2760" w:firstLineChars="1150"/>
        <w:rPr>
          <w:sz w:val="24"/>
        </w:rPr>
      </w:pPr>
      <w:r>
        <w:rPr>
          <w:rFonts w:hint="eastAsia"/>
          <w:sz w:val="24"/>
        </w:rPr>
        <w:t>供应商代表（签字或盖章）：</w:t>
      </w:r>
    </w:p>
    <w:p w14:paraId="47ED27CA">
      <w:pPr>
        <w:rPr>
          <w:sz w:val="24"/>
        </w:rPr>
      </w:pPr>
    </w:p>
    <w:p w14:paraId="0311D42D">
      <w:pPr>
        <w:ind w:firstLine="2760" w:firstLineChars="1150"/>
        <w:rPr>
          <w:sz w:val="24"/>
        </w:rPr>
      </w:pPr>
      <w:r>
        <w:rPr>
          <w:rFonts w:hint="eastAsia"/>
          <w:sz w:val="24"/>
        </w:rPr>
        <w:t>电话：</w:t>
      </w:r>
    </w:p>
    <w:p w14:paraId="7FD041CD">
      <w:pPr>
        <w:rPr>
          <w:sz w:val="24"/>
        </w:rPr>
      </w:pPr>
    </w:p>
    <w:p w14:paraId="3F0A5E2C">
      <w:pPr>
        <w:ind w:firstLine="2760" w:firstLineChars="1150"/>
        <w:rPr>
          <w:sz w:val="18"/>
          <w:szCs w:val="18"/>
          <w:u w:val="single"/>
        </w:rPr>
      </w:pPr>
      <w:r>
        <w:rPr>
          <w:rFonts w:hint="eastAsia"/>
          <w:sz w:val="24"/>
        </w:rPr>
        <w:t>日期：年月日</w:t>
      </w:r>
    </w:p>
    <w:p w14:paraId="614B9369">
      <w:pPr>
        <w:jc w:val="center"/>
        <w:rPr>
          <w:b/>
          <w:sz w:val="30"/>
          <w:szCs w:val="30"/>
        </w:rPr>
      </w:pPr>
    </w:p>
    <w:p w14:paraId="4334F686">
      <w:pPr>
        <w:jc w:val="center"/>
        <w:rPr>
          <w:b/>
          <w:sz w:val="30"/>
          <w:szCs w:val="30"/>
        </w:rPr>
      </w:pPr>
    </w:p>
    <w:p w14:paraId="3596B39F">
      <w:pPr>
        <w:pStyle w:val="11"/>
      </w:pPr>
    </w:p>
    <w:p w14:paraId="5D1F2807">
      <w:pPr>
        <w:pStyle w:val="11"/>
      </w:pPr>
    </w:p>
    <w:p w14:paraId="1271D9B6">
      <w:pPr>
        <w:pStyle w:val="11"/>
      </w:pPr>
    </w:p>
    <w:p w14:paraId="7F3C4430">
      <w:pPr>
        <w:pStyle w:val="11"/>
      </w:pPr>
    </w:p>
    <w:p w14:paraId="49F44232">
      <w:pPr>
        <w:pStyle w:val="11"/>
      </w:pPr>
    </w:p>
    <w:p w14:paraId="1CB262B7">
      <w:pPr>
        <w:pStyle w:val="11"/>
      </w:pPr>
    </w:p>
    <w:p w14:paraId="2E243726">
      <w:pPr>
        <w:pStyle w:val="11"/>
      </w:pPr>
    </w:p>
    <w:p w14:paraId="747C383C">
      <w:pPr>
        <w:pStyle w:val="11"/>
      </w:pPr>
    </w:p>
    <w:p w14:paraId="17FEC1E4">
      <w:pPr>
        <w:pStyle w:val="11"/>
      </w:pPr>
    </w:p>
    <w:p w14:paraId="22CDCF90">
      <w:pPr>
        <w:pStyle w:val="11"/>
      </w:pPr>
    </w:p>
    <w:p w14:paraId="658EE88F">
      <w:pPr>
        <w:pStyle w:val="11"/>
      </w:pPr>
    </w:p>
    <w:p w14:paraId="765EB2F5">
      <w:pPr>
        <w:pStyle w:val="11"/>
      </w:pPr>
    </w:p>
    <w:p w14:paraId="51E0F70A">
      <w:pPr>
        <w:pStyle w:val="11"/>
      </w:pPr>
    </w:p>
    <w:p w14:paraId="6374941B">
      <w:pPr>
        <w:jc w:val="center"/>
        <w:rPr>
          <w:b/>
          <w:sz w:val="30"/>
          <w:szCs w:val="30"/>
        </w:rPr>
      </w:pPr>
      <w:r>
        <w:rPr>
          <w:rFonts w:hint="eastAsia"/>
          <w:b/>
          <w:sz w:val="30"/>
          <w:szCs w:val="30"/>
        </w:rPr>
        <w:t>二、投标委托代表人资格证明书</w:t>
      </w:r>
    </w:p>
    <w:p w14:paraId="16B55F85">
      <w:pPr>
        <w:rPr>
          <w:sz w:val="24"/>
        </w:rPr>
      </w:pPr>
    </w:p>
    <w:p w14:paraId="443BDAA7">
      <w:pPr>
        <w:rPr>
          <w:sz w:val="24"/>
          <w:u w:val="single"/>
        </w:rPr>
      </w:pPr>
      <w:r>
        <w:rPr>
          <w:rFonts w:hint="eastAsia"/>
          <w:sz w:val="24"/>
        </w:rPr>
        <w:t>单位名称：</w:t>
      </w:r>
    </w:p>
    <w:p w14:paraId="72A91A34">
      <w:pPr>
        <w:rPr>
          <w:sz w:val="24"/>
          <w:u w:val="single"/>
        </w:rPr>
      </w:pPr>
      <w:r>
        <w:rPr>
          <w:rFonts w:hint="eastAsia"/>
          <w:sz w:val="24"/>
        </w:rPr>
        <w:t>地址：</w:t>
      </w:r>
    </w:p>
    <w:p w14:paraId="4C78ABD5">
      <w:pPr>
        <w:rPr>
          <w:sz w:val="24"/>
        </w:rPr>
      </w:pPr>
      <w:r>
        <w:rPr>
          <w:rFonts w:hint="eastAsia"/>
          <w:sz w:val="24"/>
        </w:rPr>
        <w:t>姓名：性别：年龄：职务：系委托代表人。为投标项目，签署上述项目的投标文件、进行合同谈判、签署合同和处理与之有关的一切事务。</w:t>
      </w:r>
    </w:p>
    <w:p w14:paraId="7833EFF5">
      <w:pPr>
        <w:rPr>
          <w:sz w:val="24"/>
        </w:rPr>
      </w:pPr>
    </w:p>
    <w:p w14:paraId="38E4D09D">
      <w:pPr>
        <w:ind w:firstLine="1800" w:firstLineChars="750"/>
        <w:rPr>
          <w:sz w:val="24"/>
        </w:rPr>
      </w:pPr>
      <w:r>
        <w:rPr>
          <w:rFonts w:hint="eastAsia"/>
          <w:sz w:val="24"/>
        </w:rPr>
        <w:t>供应商（盖章）：</w:t>
      </w:r>
    </w:p>
    <w:p w14:paraId="22BEEC77">
      <w:pPr>
        <w:ind w:firstLine="4920" w:firstLineChars="2050"/>
        <w:rPr>
          <w:sz w:val="24"/>
        </w:rPr>
      </w:pPr>
      <w:r>
        <w:rPr>
          <w:rFonts w:hint="eastAsia"/>
          <w:sz w:val="24"/>
        </w:rPr>
        <w:t>年月日</w:t>
      </w:r>
    </w:p>
    <w:p w14:paraId="23E1F358">
      <w:pPr>
        <w:jc w:val="center"/>
        <w:rPr>
          <w:b/>
          <w:sz w:val="32"/>
          <w:szCs w:val="32"/>
        </w:rPr>
      </w:pPr>
      <w:r>
        <w:rPr>
          <w:rFonts w:hint="eastAsia"/>
          <w:sz w:val="24"/>
        </w:rPr>
        <w:br w:type="page"/>
      </w:r>
      <w:r>
        <w:rPr>
          <w:rFonts w:hint="eastAsia"/>
          <w:b/>
          <w:sz w:val="32"/>
          <w:szCs w:val="32"/>
        </w:rPr>
        <w:t>三、投标承诺书</w:t>
      </w:r>
    </w:p>
    <w:p w14:paraId="1F249C86">
      <w:pPr>
        <w:tabs>
          <w:tab w:val="left" w:pos="5355"/>
        </w:tabs>
        <w:spacing w:before="100" w:beforeAutospacing="1" w:after="100" w:afterAutospacing="1" w:line="360" w:lineRule="auto"/>
        <w:ind w:firstLine="640" w:firstLineChars="200"/>
        <w:rPr>
          <w:rFonts w:ascii="仿宋" w:hAnsi="仿宋" w:eastAsia="仿宋" w:cs="宋体"/>
          <w:bCs/>
          <w:sz w:val="32"/>
          <w:szCs w:val="32"/>
        </w:rPr>
      </w:pPr>
      <w:r>
        <w:rPr>
          <w:rFonts w:hint="eastAsia" w:ascii="仿宋" w:hAnsi="仿宋" w:eastAsia="仿宋" w:cs="宋体"/>
          <w:bCs/>
          <w:sz w:val="32"/>
          <w:szCs w:val="32"/>
        </w:rPr>
        <w:t>我司承诺对项目的院内竞争性磋商最终确定的综合评定最优结果表示认可，并承诺不会对福建省肿瘤医院在本项目招标过程中的工作模式以及终止本项目招标的可能提出疑议。</w:t>
      </w:r>
    </w:p>
    <w:p w14:paraId="39033523">
      <w:pPr>
        <w:tabs>
          <w:tab w:val="left" w:pos="5355"/>
        </w:tabs>
        <w:spacing w:before="100" w:beforeAutospacing="1" w:after="100" w:afterAutospacing="1" w:line="360" w:lineRule="auto"/>
        <w:ind w:firstLine="640" w:firstLineChars="200"/>
        <w:rPr>
          <w:rFonts w:ascii="仿宋" w:hAnsi="仿宋" w:eastAsia="仿宋" w:cs="宋体"/>
          <w:sz w:val="32"/>
          <w:szCs w:val="32"/>
        </w:rPr>
      </w:pPr>
      <w:r>
        <w:rPr>
          <w:rFonts w:hint="eastAsia" w:ascii="仿宋" w:hAnsi="仿宋" w:eastAsia="仿宋" w:cs="宋体"/>
          <w:bCs/>
          <w:sz w:val="32"/>
          <w:szCs w:val="32"/>
        </w:rPr>
        <w:t>我司承诺本次投标所有的相关承诺书、投标/响应文件等都作为本项目合同不可分割的部分，并承诺本项目合同、承诺书、投标书、方案等相关资料中发生歧义、冲突的条款、指标均以福建省肿瘤医院解释或要求为标准。我方承诺中标/成交后能够完全配合本项目施工的进度开展工作。</w:t>
      </w:r>
    </w:p>
    <w:p w14:paraId="70DC9250">
      <w:pPr>
        <w:tabs>
          <w:tab w:val="left" w:pos="5355"/>
        </w:tabs>
        <w:spacing w:before="100" w:beforeAutospacing="1" w:after="100" w:afterAutospacing="1" w:line="360" w:lineRule="auto"/>
        <w:ind w:firstLine="640" w:firstLineChars="200"/>
        <w:rPr>
          <w:rFonts w:ascii="仿宋" w:hAnsi="仿宋" w:eastAsia="仿宋" w:cs="宋体"/>
          <w:sz w:val="32"/>
          <w:szCs w:val="32"/>
        </w:rPr>
      </w:pPr>
      <w:r>
        <w:rPr>
          <w:rFonts w:hint="eastAsia" w:ascii="仿宋" w:hAnsi="仿宋" w:eastAsia="仿宋" w:cs="宋体"/>
          <w:bCs/>
          <w:sz w:val="32"/>
          <w:szCs w:val="32"/>
        </w:rPr>
        <w:t>我司承诺福建省肿瘤医院在授予我司合同时有权利增加补充相关内容。</w:t>
      </w:r>
    </w:p>
    <w:p w14:paraId="55EB1072">
      <w:pPr>
        <w:tabs>
          <w:tab w:val="left" w:pos="5355"/>
        </w:tabs>
        <w:spacing w:before="100" w:beforeAutospacing="1" w:after="100" w:afterAutospacing="1" w:line="360" w:lineRule="auto"/>
        <w:ind w:firstLine="640" w:firstLineChars="200"/>
        <w:rPr>
          <w:rFonts w:ascii="仿宋" w:hAnsi="仿宋" w:eastAsia="仿宋" w:cs="宋体"/>
          <w:sz w:val="32"/>
          <w:szCs w:val="32"/>
        </w:rPr>
      </w:pPr>
      <w:r>
        <w:rPr>
          <w:rFonts w:hint="eastAsia" w:ascii="仿宋" w:hAnsi="仿宋" w:eastAsia="仿宋" w:cs="宋体"/>
          <w:bCs/>
          <w:sz w:val="32"/>
          <w:szCs w:val="32"/>
        </w:rPr>
        <w:t>备注：工作模式包括二次谈判等工作模式。</w:t>
      </w:r>
    </w:p>
    <w:p w14:paraId="6F97FEE9">
      <w:pPr>
        <w:tabs>
          <w:tab w:val="left" w:pos="5355"/>
        </w:tabs>
        <w:spacing w:before="100" w:beforeAutospacing="1" w:after="100" w:afterAutospacing="1" w:line="360" w:lineRule="auto"/>
        <w:rPr>
          <w:rFonts w:ascii="仿宋" w:hAnsi="仿宋" w:eastAsia="仿宋" w:cs="宋体"/>
          <w:sz w:val="32"/>
          <w:szCs w:val="32"/>
        </w:rPr>
      </w:pPr>
      <w:r>
        <w:rPr>
          <w:rFonts w:hint="eastAsia" w:ascii="仿宋" w:hAnsi="仿宋" w:eastAsia="仿宋" w:cs="宋体"/>
          <w:sz w:val="32"/>
          <w:szCs w:val="32"/>
        </w:rPr>
        <w:t>供应商名称（全称并加公章）：</w:t>
      </w:r>
    </w:p>
    <w:p w14:paraId="1453EFA3">
      <w:pPr>
        <w:tabs>
          <w:tab w:val="left" w:pos="5355"/>
        </w:tabs>
        <w:spacing w:before="100" w:beforeAutospacing="1" w:after="100" w:afterAutospacing="1" w:line="360" w:lineRule="auto"/>
        <w:rPr>
          <w:rFonts w:ascii="仿宋" w:hAnsi="仿宋" w:eastAsia="仿宋" w:cs="宋体"/>
          <w:sz w:val="32"/>
          <w:szCs w:val="32"/>
        </w:rPr>
      </w:pPr>
      <w:r>
        <w:rPr>
          <w:rFonts w:hint="eastAsia" w:ascii="仿宋" w:hAnsi="仿宋" w:eastAsia="仿宋" w:cs="宋体"/>
          <w:sz w:val="32"/>
          <w:szCs w:val="32"/>
        </w:rPr>
        <w:t>供应商代表签字：</w:t>
      </w:r>
    </w:p>
    <w:p w14:paraId="3861557B">
      <w:pPr>
        <w:tabs>
          <w:tab w:val="left" w:pos="5355"/>
        </w:tabs>
        <w:spacing w:before="100" w:beforeAutospacing="1" w:after="100" w:afterAutospacing="1" w:line="360" w:lineRule="auto"/>
        <w:rPr>
          <w:rFonts w:ascii="仿宋" w:hAnsi="仿宋" w:eastAsia="仿宋"/>
          <w:b/>
          <w:sz w:val="32"/>
          <w:szCs w:val="32"/>
        </w:rPr>
      </w:pPr>
      <w:r>
        <w:rPr>
          <w:rFonts w:hint="eastAsia" w:ascii="仿宋" w:hAnsi="仿宋" w:eastAsia="仿宋" w:cs="宋体"/>
          <w:sz w:val="32"/>
          <w:szCs w:val="32"/>
        </w:rPr>
        <w:t>日期：     年    月   日</w:t>
      </w:r>
    </w:p>
    <w:p w14:paraId="30C327DE">
      <w:pPr>
        <w:jc w:val="center"/>
        <w:rPr>
          <w:b/>
          <w:sz w:val="30"/>
          <w:szCs w:val="30"/>
        </w:rPr>
      </w:pPr>
      <w:r>
        <w:rPr>
          <w:rFonts w:hint="eastAsia"/>
        </w:rPr>
        <w:br w:type="page"/>
      </w:r>
      <w:r>
        <w:rPr>
          <w:rFonts w:hint="eastAsia"/>
          <w:b/>
          <w:sz w:val="30"/>
          <w:szCs w:val="30"/>
        </w:rPr>
        <w:t>四、其他需要提供的材料</w:t>
      </w:r>
    </w:p>
    <w:p w14:paraId="20BF6F3D">
      <w:pPr>
        <w:jc w:val="center"/>
        <w:rPr>
          <w:sz w:val="24"/>
        </w:rPr>
      </w:pPr>
    </w:p>
    <w:p w14:paraId="0E7436E1">
      <w:pPr>
        <w:jc w:val="center"/>
        <w:rPr>
          <w:sz w:val="24"/>
        </w:rPr>
      </w:pPr>
      <w:r>
        <w:rPr>
          <w:rFonts w:hint="eastAsia"/>
          <w:sz w:val="24"/>
        </w:rPr>
        <w:t>（附供应商需要提供的其他材料）</w:t>
      </w:r>
    </w:p>
    <w:p w14:paraId="0F418837"/>
    <w:p w14:paraId="31B7ECA3">
      <w:pPr>
        <w:spacing w:line="220" w:lineRule="atLeast"/>
      </w:pPr>
    </w:p>
    <w:p w14:paraId="26B8E05A">
      <w:pPr>
        <w:tabs>
          <w:tab w:val="left" w:pos="630"/>
        </w:tabs>
        <w:spacing w:before="120"/>
        <w:jc w:val="center"/>
        <w:rPr>
          <w:rFonts w:ascii="仿宋" w:hAnsi="仿宋" w:eastAsia="仿宋"/>
          <w:sz w:val="30"/>
          <w:szCs w:val="30"/>
        </w:rPr>
      </w:pPr>
    </w:p>
    <w:p w14:paraId="2579A570"/>
    <w:p w14:paraId="37727D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仿宋简体">
    <w:altName w:val="微软雅黑"/>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42C55"/>
    <w:multiLevelType w:val="singleLevel"/>
    <w:tmpl w:val="9F842C55"/>
    <w:lvl w:ilvl="0" w:tentative="0">
      <w:start w:val="1"/>
      <w:numFmt w:val="decimal"/>
      <w:lvlText w:val="(%1)"/>
      <w:lvlJc w:val="left"/>
      <w:pPr>
        <w:ind w:left="425" w:hanging="425"/>
      </w:pPr>
      <w:rPr>
        <w:rFonts w:hint="default"/>
      </w:rPr>
    </w:lvl>
  </w:abstractNum>
  <w:abstractNum w:abstractNumId="1">
    <w:nsid w:val="A0A50D0D"/>
    <w:multiLevelType w:val="singleLevel"/>
    <w:tmpl w:val="A0A50D0D"/>
    <w:lvl w:ilvl="0" w:tentative="0">
      <w:start w:val="1"/>
      <w:numFmt w:val="decimal"/>
      <w:lvlText w:val="(%1)"/>
      <w:lvlJc w:val="left"/>
      <w:pPr>
        <w:ind w:left="425" w:hanging="425"/>
      </w:pPr>
      <w:rPr>
        <w:rFonts w:hint="default"/>
      </w:rPr>
    </w:lvl>
  </w:abstractNum>
  <w:abstractNum w:abstractNumId="2">
    <w:nsid w:val="C074C1E2"/>
    <w:multiLevelType w:val="singleLevel"/>
    <w:tmpl w:val="C074C1E2"/>
    <w:lvl w:ilvl="0" w:tentative="0">
      <w:start w:val="1"/>
      <w:numFmt w:val="decimal"/>
      <w:lvlText w:val="%1."/>
      <w:lvlJc w:val="left"/>
      <w:pPr>
        <w:ind w:left="865" w:hanging="425"/>
      </w:pPr>
      <w:rPr>
        <w:rFonts w:hint="default" w:ascii="宋体" w:hAnsi="宋体" w:eastAsia="宋体" w:cstheme="majorEastAsia"/>
        <w:sz w:val="26"/>
        <w:szCs w:val="26"/>
      </w:rPr>
    </w:lvl>
  </w:abstractNum>
  <w:abstractNum w:abstractNumId="3">
    <w:nsid w:val="F49130CD"/>
    <w:multiLevelType w:val="singleLevel"/>
    <w:tmpl w:val="F49130CD"/>
    <w:lvl w:ilvl="0" w:tentative="0">
      <w:start w:val="1"/>
      <w:numFmt w:val="decimal"/>
      <w:lvlText w:val="%1."/>
      <w:lvlJc w:val="left"/>
      <w:pPr>
        <w:tabs>
          <w:tab w:val="left" w:pos="312"/>
        </w:tabs>
      </w:pPr>
    </w:lvl>
  </w:abstractNum>
  <w:abstractNum w:abstractNumId="4">
    <w:nsid w:val="F5F1E733"/>
    <w:multiLevelType w:val="singleLevel"/>
    <w:tmpl w:val="F5F1E733"/>
    <w:lvl w:ilvl="0" w:tentative="0">
      <w:start w:val="1"/>
      <w:numFmt w:val="decimal"/>
      <w:suff w:val="space"/>
      <w:lvlText w:val="%1."/>
      <w:lvlJc w:val="left"/>
      <w:pPr>
        <w:ind w:left="-80"/>
      </w:pPr>
    </w:lvl>
  </w:abstractNum>
  <w:abstractNum w:abstractNumId="5">
    <w:nsid w:val="261E76F5"/>
    <w:multiLevelType w:val="singleLevel"/>
    <w:tmpl w:val="261E76F5"/>
    <w:lvl w:ilvl="0" w:tentative="0">
      <w:start w:val="1"/>
      <w:numFmt w:val="decimal"/>
      <w:lvlText w:val="%1."/>
      <w:lvlJc w:val="left"/>
      <w:pPr>
        <w:ind w:left="425" w:hanging="425"/>
      </w:pPr>
      <w:rPr>
        <w:rFonts w:hint="default"/>
      </w:rPr>
    </w:lvl>
  </w:abstractNum>
  <w:abstractNum w:abstractNumId="6">
    <w:nsid w:val="372123A1"/>
    <w:multiLevelType w:val="multilevel"/>
    <w:tmpl w:val="372123A1"/>
    <w:lvl w:ilvl="0" w:tentative="0">
      <w:start w:val="1"/>
      <w:numFmt w:val="decimal"/>
      <w:lvlText w:val="%1."/>
      <w:lvlJc w:val="left"/>
      <w:pPr>
        <w:ind w:left="830" w:hanging="440"/>
      </w:p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7">
    <w:nsid w:val="4C96EDAF"/>
    <w:multiLevelType w:val="singleLevel"/>
    <w:tmpl w:val="4C96EDAF"/>
    <w:lvl w:ilvl="0" w:tentative="0">
      <w:start w:val="1"/>
      <w:numFmt w:val="decimal"/>
      <w:lvlText w:val="(%1)"/>
      <w:lvlJc w:val="left"/>
      <w:pPr>
        <w:ind w:left="425" w:hanging="425"/>
      </w:pPr>
      <w:rPr>
        <w:rFonts w:hint="default"/>
      </w:rPr>
    </w:lvl>
  </w:abstractNum>
  <w:abstractNum w:abstractNumId="8">
    <w:nsid w:val="50AE6D90"/>
    <w:multiLevelType w:val="multilevel"/>
    <w:tmpl w:val="50AE6D90"/>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9">
    <w:nsid w:val="52313DFE"/>
    <w:multiLevelType w:val="singleLevel"/>
    <w:tmpl w:val="52313DFE"/>
    <w:lvl w:ilvl="0" w:tentative="0">
      <w:start w:val="1"/>
      <w:numFmt w:val="decimal"/>
      <w:lvlText w:val="%1."/>
      <w:lvlJc w:val="left"/>
      <w:pPr>
        <w:ind w:left="425" w:hanging="425"/>
      </w:pPr>
      <w:rPr>
        <w:rFonts w:hint="default"/>
      </w:rPr>
    </w:lvl>
  </w:abstractNum>
  <w:abstractNum w:abstractNumId="10">
    <w:nsid w:val="7196F9DA"/>
    <w:multiLevelType w:val="multilevel"/>
    <w:tmpl w:val="7196F9DA"/>
    <w:lvl w:ilvl="0" w:tentative="0">
      <w:start w:val="1"/>
      <w:numFmt w:val="decimal"/>
      <w:lvlText w:val="%1."/>
      <w:lvlJc w:val="left"/>
      <w:pPr>
        <w:ind w:left="880" w:hanging="440"/>
      </w:pPr>
      <w:rPr>
        <w:rFonts w:hint="default" w:asciiTheme="majorEastAsia" w:hAnsiTheme="majorEastAsia" w:eastAsiaTheme="majorEastAsia" w:cstheme="majorEastAsia"/>
        <w:b w:val="0"/>
        <w:bCs w:val="0"/>
        <w:sz w:val="26"/>
        <w:szCs w:val="26"/>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11">
    <w:nsid w:val="74AF2DF7"/>
    <w:multiLevelType w:val="multilevel"/>
    <w:tmpl w:val="74AF2DF7"/>
    <w:lvl w:ilvl="0" w:tentative="0">
      <w:start w:val="1"/>
      <w:numFmt w:val="decimal"/>
      <w:lvlText w:val="%1."/>
      <w:lvlJc w:val="left"/>
      <w:pPr>
        <w:ind w:left="830" w:hanging="440"/>
      </w:p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12">
    <w:nsid w:val="75EE7788"/>
    <w:multiLevelType w:val="multilevel"/>
    <w:tmpl w:val="75EE7788"/>
    <w:lvl w:ilvl="0" w:tentative="0">
      <w:start w:val="1"/>
      <w:numFmt w:val="decimal"/>
      <w:lvlText w:val="%1."/>
      <w:lvlJc w:val="left"/>
      <w:pPr>
        <w:ind w:left="830" w:hanging="440"/>
      </w:pPr>
      <w:rPr>
        <w:rFonts w:hint="default" w:ascii="宋体" w:hAnsi="宋体" w:eastAsia="宋体" w:cstheme="majorEastAsia"/>
        <w:b w:val="0"/>
        <w:bCs w:val="0"/>
        <w:sz w:val="26"/>
        <w:szCs w:val="26"/>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13">
    <w:nsid w:val="779E48CE"/>
    <w:multiLevelType w:val="multilevel"/>
    <w:tmpl w:val="779E48CE"/>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num w:numId="1">
    <w:abstractNumId w:val="12"/>
  </w:num>
  <w:num w:numId="2">
    <w:abstractNumId w:val="6"/>
  </w:num>
  <w:num w:numId="3">
    <w:abstractNumId w:val="10"/>
  </w:num>
  <w:num w:numId="4">
    <w:abstractNumId w:val="11"/>
  </w:num>
  <w:num w:numId="5">
    <w:abstractNumId w:val="2"/>
  </w:num>
  <w:num w:numId="6">
    <w:abstractNumId w:val="4"/>
  </w:num>
  <w:num w:numId="7">
    <w:abstractNumId w:val="13"/>
  </w:num>
  <w:num w:numId="8">
    <w:abstractNumId w:val="8"/>
  </w:num>
  <w:num w:numId="9">
    <w:abstractNumId w:val="9"/>
  </w:num>
  <w:num w:numId="10">
    <w:abstractNumId w:val="5"/>
  </w:num>
  <w:num w:numId="11">
    <w:abstractNumId w:val="1"/>
  </w:num>
  <w:num w:numId="12">
    <w:abstractNumId w:val="0"/>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36C"/>
    <w:rsid w:val="00013AC5"/>
    <w:rsid w:val="0005075D"/>
    <w:rsid w:val="000B3136"/>
    <w:rsid w:val="000F236C"/>
    <w:rsid w:val="001741CC"/>
    <w:rsid w:val="001F0ED0"/>
    <w:rsid w:val="00211344"/>
    <w:rsid w:val="00235AB6"/>
    <w:rsid w:val="0041733C"/>
    <w:rsid w:val="00420332"/>
    <w:rsid w:val="00452415"/>
    <w:rsid w:val="00467D2E"/>
    <w:rsid w:val="00516A65"/>
    <w:rsid w:val="005C4D2E"/>
    <w:rsid w:val="005F4BE2"/>
    <w:rsid w:val="005F4C8B"/>
    <w:rsid w:val="00686ECF"/>
    <w:rsid w:val="006C5C15"/>
    <w:rsid w:val="00795528"/>
    <w:rsid w:val="008322BB"/>
    <w:rsid w:val="008476FF"/>
    <w:rsid w:val="008800F5"/>
    <w:rsid w:val="00881871"/>
    <w:rsid w:val="008C7901"/>
    <w:rsid w:val="00930431"/>
    <w:rsid w:val="00A149B8"/>
    <w:rsid w:val="00B33A94"/>
    <w:rsid w:val="00B51413"/>
    <w:rsid w:val="00B52697"/>
    <w:rsid w:val="00B64D9A"/>
    <w:rsid w:val="00B963EA"/>
    <w:rsid w:val="00BA0272"/>
    <w:rsid w:val="00C34F36"/>
    <w:rsid w:val="00D25190"/>
    <w:rsid w:val="00D57F14"/>
    <w:rsid w:val="00D8649A"/>
    <w:rsid w:val="00E31065"/>
    <w:rsid w:val="00E72ADC"/>
    <w:rsid w:val="00E73CE9"/>
    <w:rsid w:val="00F85631"/>
    <w:rsid w:val="00F96CE5"/>
    <w:rsid w:val="00FC5C95"/>
    <w:rsid w:val="00FF11FE"/>
    <w:rsid w:val="01A4092C"/>
    <w:rsid w:val="03345AEF"/>
    <w:rsid w:val="049A4077"/>
    <w:rsid w:val="09D851BE"/>
    <w:rsid w:val="09E85885"/>
    <w:rsid w:val="0B7907FA"/>
    <w:rsid w:val="0EC3697F"/>
    <w:rsid w:val="0F367E03"/>
    <w:rsid w:val="10AD6EE0"/>
    <w:rsid w:val="174560C4"/>
    <w:rsid w:val="190873AA"/>
    <w:rsid w:val="224A55BF"/>
    <w:rsid w:val="23B87C1E"/>
    <w:rsid w:val="24BA7F43"/>
    <w:rsid w:val="25537BFE"/>
    <w:rsid w:val="26B81298"/>
    <w:rsid w:val="26D92385"/>
    <w:rsid w:val="28627120"/>
    <w:rsid w:val="290007D2"/>
    <w:rsid w:val="2CC55886"/>
    <w:rsid w:val="2D0068BE"/>
    <w:rsid w:val="2D197BD7"/>
    <w:rsid w:val="2D4211F2"/>
    <w:rsid w:val="2DEE4968"/>
    <w:rsid w:val="310821E5"/>
    <w:rsid w:val="31684A32"/>
    <w:rsid w:val="35693249"/>
    <w:rsid w:val="359202CF"/>
    <w:rsid w:val="3599165E"/>
    <w:rsid w:val="3660217B"/>
    <w:rsid w:val="3B117EE8"/>
    <w:rsid w:val="3D6C6CC0"/>
    <w:rsid w:val="400F741F"/>
    <w:rsid w:val="42AB6E74"/>
    <w:rsid w:val="43830D8B"/>
    <w:rsid w:val="463F7FFF"/>
    <w:rsid w:val="46FC1A4C"/>
    <w:rsid w:val="4D634713"/>
    <w:rsid w:val="4F121759"/>
    <w:rsid w:val="53C02053"/>
    <w:rsid w:val="55050666"/>
    <w:rsid w:val="56010E2D"/>
    <w:rsid w:val="56705FB3"/>
    <w:rsid w:val="579E08FE"/>
    <w:rsid w:val="58354DBE"/>
    <w:rsid w:val="5B060C94"/>
    <w:rsid w:val="5EAD6A51"/>
    <w:rsid w:val="61A92379"/>
    <w:rsid w:val="61BE4076"/>
    <w:rsid w:val="63F07345"/>
    <w:rsid w:val="63F7561D"/>
    <w:rsid w:val="66191D84"/>
    <w:rsid w:val="6B637A3C"/>
    <w:rsid w:val="6BF8749F"/>
    <w:rsid w:val="6E160D96"/>
    <w:rsid w:val="704A2F79"/>
    <w:rsid w:val="72A03324"/>
    <w:rsid w:val="73351CBE"/>
    <w:rsid w:val="7645046A"/>
    <w:rsid w:val="79BF0534"/>
    <w:rsid w:val="79D63530"/>
    <w:rsid w:val="7CEF1130"/>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宋体" w:cs="黑体"/>
      <w:kern w:val="2"/>
      <w:sz w:val="21"/>
      <w:szCs w:val="24"/>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376092" w:themeColor="accent1" w:themeShade="BF"/>
      <w:sz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376092"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semiHidden/>
    <w:unhideWhenUsed/>
    <w:qFormat/>
    <w:uiPriority w:val="0"/>
    <w:pPr>
      <w:ind w:firstLine="420" w:firstLineChars="200"/>
    </w:pPr>
  </w:style>
  <w:style w:type="paragraph" w:styleId="12">
    <w:name w:val="annotation text"/>
    <w:basedOn w:val="1"/>
    <w:qFormat/>
    <w:uiPriority w:val="99"/>
    <w:pPr>
      <w:jc w:val="left"/>
    </w:pPr>
  </w:style>
  <w:style w:type="paragraph" w:styleId="13">
    <w:name w:val="Body Text"/>
    <w:basedOn w:val="1"/>
    <w:semiHidden/>
    <w:unhideWhenUsed/>
    <w:qFormat/>
    <w:uiPriority w:val="99"/>
    <w:pPr>
      <w:spacing w:after="120"/>
    </w:pPr>
  </w:style>
  <w:style w:type="paragraph" w:styleId="14">
    <w:name w:val="Plain Text"/>
    <w:basedOn w:val="1"/>
    <w:link w:val="41"/>
    <w:semiHidden/>
    <w:unhideWhenUsed/>
    <w:qFormat/>
    <w:uiPriority w:val="0"/>
    <w:rPr>
      <w:rFonts w:ascii="宋体" w:hAnsi="Courier New" w:eastAsia="微软雅黑" w:cs="Times New Roman"/>
      <w:kern w:val="0"/>
      <w:sz w:val="22"/>
      <w:szCs w:val="22"/>
    </w:rPr>
  </w:style>
  <w:style w:type="paragraph" w:styleId="15">
    <w:name w:val="footer"/>
    <w:basedOn w:val="1"/>
    <w:link w:val="45"/>
    <w:unhideWhenUsed/>
    <w:qFormat/>
    <w:uiPriority w:val="99"/>
    <w:pPr>
      <w:tabs>
        <w:tab w:val="center" w:pos="4153"/>
        <w:tab w:val="right" w:pos="8306"/>
      </w:tabs>
      <w:snapToGrid w:val="0"/>
      <w:jc w:val="left"/>
    </w:pPr>
    <w:rPr>
      <w:sz w:val="18"/>
      <w:szCs w:val="18"/>
    </w:rPr>
  </w:style>
  <w:style w:type="paragraph" w:styleId="16">
    <w:name w:val="header"/>
    <w:basedOn w:val="1"/>
    <w:link w:val="44"/>
    <w:unhideWhenUsed/>
    <w:qFormat/>
    <w:uiPriority w:val="99"/>
    <w:pPr>
      <w:tabs>
        <w:tab w:val="center" w:pos="4153"/>
        <w:tab w:val="right" w:pos="8306"/>
      </w:tabs>
      <w:snapToGrid w:val="0"/>
      <w:jc w:val="center"/>
    </w:pPr>
    <w:rPr>
      <w:sz w:val="18"/>
      <w:szCs w:val="18"/>
    </w:rPr>
  </w:style>
  <w:style w:type="paragraph" w:styleId="17">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20">
    <w:name w:val="Table Grid"/>
    <w:basedOn w:val="19"/>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rPr>
  </w:style>
  <w:style w:type="character" w:customStyle="1" w:styleId="23">
    <w:name w:val="标题 1 Char"/>
    <w:basedOn w:val="21"/>
    <w:link w:val="2"/>
    <w:qFormat/>
    <w:uiPriority w:val="9"/>
    <w:rPr>
      <w:rFonts w:asciiTheme="majorHAnsi" w:hAnsiTheme="majorHAnsi" w:eastAsiaTheme="majorEastAsia" w:cstheme="majorBidi"/>
      <w:color w:val="376092" w:themeColor="accent1" w:themeShade="BF"/>
      <w:sz w:val="48"/>
      <w:szCs w:val="48"/>
    </w:rPr>
  </w:style>
  <w:style w:type="character" w:customStyle="1" w:styleId="24">
    <w:name w:val="标题 2 Char"/>
    <w:basedOn w:val="21"/>
    <w:link w:val="3"/>
    <w:semiHidden/>
    <w:qFormat/>
    <w:uiPriority w:val="9"/>
    <w:rPr>
      <w:rFonts w:asciiTheme="majorHAnsi" w:hAnsiTheme="majorHAnsi" w:eastAsiaTheme="majorEastAsia" w:cstheme="majorBidi"/>
      <w:color w:val="376092" w:themeColor="accent1" w:themeShade="BF"/>
      <w:sz w:val="40"/>
      <w:szCs w:val="40"/>
    </w:rPr>
  </w:style>
  <w:style w:type="character" w:customStyle="1" w:styleId="25">
    <w:name w:val="标题 3 Char"/>
    <w:basedOn w:val="21"/>
    <w:link w:val="4"/>
    <w:semiHidden/>
    <w:qFormat/>
    <w:uiPriority w:val="9"/>
    <w:rPr>
      <w:rFonts w:asciiTheme="majorHAnsi" w:hAnsiTheme="majorHAnsi" w:eastAsiaTheme="majorEastAsia" w:cstheme="majorBidi"/>
      <w:color w:val="376092" w:themeColor="accent1" w:themeShade="BF"/>
      <w:sz w:val="32"/>
      <w:szCs w:val="32"/>
    </w:rPr>
  </w:style>
  <w:style w:type="character" w:customStyle="1" w:styleId="26">
    <w:name w:val="标题 4 Char"/>
    <w:basedOn w:val="21"/>
    <w:link w:val="5"/>
    <w:semiHidden/>
    <w:qFormat/>
    <w:uiPriority w:val="9"/>
    <w:rPr>
      <w:rFonts w:cstheme="majorBidi"/>
      <w:color w:val="376092" w:themeColor="accent1" w:themeShade="BF"/>
      <w:sz w:val="28"/>
      <w:szCs w:val="28"/>
    </w:rPr>
  </w:style>
  <w:style w:type="character" w:customStyle="1" w:styleId="27">
    <w:name w:val="标题 5 Char"/>
    <w:basedOn w:val="21"/>
    <w:link w:val="6"/>
    <w:semiHidden/>
    <w:qFormat/>
    <w:uiPriority w:val="9"/>
    <w:rPr>
      <w:rFonts w:cstheme="majorBidi"/>
      <w:color w:val="376092" w:themeColor="accent1" w:themeShade="BF"/>
      <w:sz w:val="24"/>
      <w:szCs w:val="24"/>
    </w:rPr>
  </w:style>
  <w:style w:type="character" w:customStyle="1" w:styleId="28">
    <w:name w:val="标题 6 Char"/>
    <w:basedOn w:val="21"/>
    <w:link w:val="7"/>
    <w:semiHidden/>
    <w:qFormat/>
    <w:uiPriority w:val="9"/>
    <w:rPr>
      <w:rFonts w:cstheme="majorBidi"/>
      <w:b/>
      <w:bCs/>
      <w:color w:val="376092" w:themeColor="accent1" w:themeShade="BF"/>
    </w:rPr>
  </w:style>
  <w:style w:type="character" w:customStyle="1" w:styleId="29">
    <w:name w:val="标题 7 Char"/>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Char"/>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Char"/>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Char"/>
    <w:basedOn w:val="21"/>
    <w:link w:val="18"/>
    <w:qFormat/>
    <w:uiPriority w:val="10"/>
    <w:rPr>
      <w:rFonts w:asciiTheme="majorHAnsi" w:hAnsiTheme="majorHAnsi" w:eastAsiaTheme="majorEastAsia" w:cstheme="majorBidi"/>
      <w:spacing w:val="-10"/>
      <w:kern w:val="28"/>
      <w:sz w:val="56"/>
      <w:szCs w:val="56"/>
    </w:rPr>
  </w:style>
  <w:style w:type="character" w:customStyle="1" w:styleId="33">
    <w:name w:val="副标题 Char"/>
    <w:basedOn w:val="21"/>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Char"/>
    <w:basedOn w:val="21"/>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99"/>
    <w:pPr>
      <w:ind w:left="720"/>
      <w:contextualSpacing/>
    </w:pPr>
  </w:style>
  <w:style w:type="character" w:customStyle="1" w:styleId="37">
    <w:name w:val="Intense Emphasis"/>
    <w:basedOn w:val="21"/>
    <w:qFormat/>
    <w:uiPriority w:val="21"/>
    <w:rPr>
      <w:i/>
      <w:iCs/>
      <w:color w:val="376092" w:themeColor="accent1" w:themeShade="BF"/>
    </w:rPr>
  </w:style>
  <w:style w:type="paragraph" w:styleId="38">
    <w:name w:val="Intense Quote"/>
    <w:basedOn w:val="1"/>
    <w:next w:val="1"/>
    <w:link w:val="39"/>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9">
    <w:name w:val="明显引用 Char"/>
    <w:basedOn w:val="21"/>
    <w:link w:val="38"/>
    <w:qFormat/>
    <w:uiPriority w:val="30"/>
    <w:rPr>
      <w:i/>
      <w:iCs/>
      <w:color w:val="376092" w:themeColor="accent1" w:themeShade="BF"/>
    </w:rPr>
  </w:style>
  <w:style w:type="character" w:customStyle="1" w:styleId="40">
    <w:name w:val="Intense Reference"/>
    <w:basedOn w:val="21"/>
    <w:qFormat/>
    <w:uiPriority w:val="32"/>
    <w:rPr>
      <w:b/>
      <w:bCs/>
      <w:smallCaps/>
      <w:color w:val="376092" w:themeColor="accent1" w:themeShade="BF"/>
      <w:spacing w:val="5"/>
    </w:rPr>
  </w:style>
  <w:style w:type="character" w:customStyle="1" w:styleId="41">
    <w:name w:val="纯文本 Char"/>
    <w:basedOn w:val="21"/>
    <w:link w:val="14"/>
    <w:semiHidden/>
    <w:qFormat/>
    <w:uiPriority w:val="0"/>
    <w:rPr>
      <w:rFonts w:ascii="宋体" w:hAnsi="Courier New" w:eastAsia="微软雅黑" w:cs="Times New Roman"/>
      <w:kern w:val="0"/>
      <w:sz w:val="22"/>
    </w:rPr>
  </w:style>
  <w:style w:type="paragraph" w:customStyle="1" w:styleId="42">
    <w:name w:val="Default"/>
    <w:qFormat/>
    <w:uiPriority w:val="0"/>
    <w:pPr>
      <w:widowControl w:val="0"/>
      <w:autoSpaceDE w:val="0"/>
      <w:autoSpaceDN w:val="0"/>
      <w:adjustRightInd w:val="0"/>
    </w:pPr>
    <w:rPr>
      <w:rFonts w:ascii="宋体" w:hAnsi="Times New Roman" w:eastAsia="宋体" w:cs="Times New Roman"/>
      <w:color w:val="000000"/>
      <w:kern w:val="0"/>
      <w:sz w:val="24"/>
      <w:szCs w:val="24"/>
      <w:lang w:val="en-US" w:eastAsia="zh-CN" w:bidi="ar-SA"/>
    </w:rPr>
  </w:style>
  <w:style w:type="paragraph" w:customStyle="1" w:styleId="43">
    <w:name w:val="Fließtext"/>
    <w:basedOn w:val="1"/>
    <w:qFormat/>
    <w:uiPriority w:val="0"/>
    <w:pPr>
      <w:overflowPunct w:val="0"/>
      <w:autoSpaceDE w:val="0"/>
      <w:autoSpaceDN w:val="0"/>
      <w:adjustRightInd w:val="0"/>
    </w:pPr>
    <w:rPr>
      <w:rFonts w:ascii="Times New Roman" w:hAnsi="Times New Roman" w:cs="Times New Roman"/>
      <w:kern w:val="28"/>
      <w:szCs w:val="20"/>
    </w:rPr>
  </w:style>
  <w:style w:type="character" w:customStyle="1" w:styleId="44">
    <w:name w:val="页眉 Char"/>
    <w:basedOn w:val="21"/>
    <w:link w:val="16"/>
    <w:qFormat/>
    <w:uiPriority w:val="99"/>
    <w:rPr>
      <w:rFonts w:ascii="黑体" w:hAnsi="黑体" w:eastAsia="宋体" w:cs="黑体"/>
      <w:sz w:val="18"/>
      <w:szCs w:val="18"/>
    </w:rPr>
  </w:style>
  <w:style w:type="character" w:customStyle="1" w:styleId="45">
    <w:name w:val="页脚 Char"/>
    <w:basedOn w:val="21"/>
    <w:link w:val="15"/>
    <w:qFormat/>
    <w:uiPriority w:val="99"/>
    <w:rPr>
      <w:rFonts w:ascii="黑体" w:hAnsi="黑体" w:eastAsia="宋体" w:cs="黑体"/>
      <w:sz w:val="18"/>
      <w:szCs w:val="18"/>
    </w:rPr>
  </w:style>
  <w:style w:type="paragraph" w:customStyle="1" w:styleId="46">
    <w:name w:val="null3"/>
    <w:qFormat/>
    <w:uiPriority w:val="0"/>
    <w:rPr>
      <w:rFonts w:hint="eastAsia" w:ascii="Calibri" w:hAnsi="Calibri" w:eastAsia="宋体" w:cs="Times New Roman"/>
      <w:lang w:val="en-US" w:eastAsia="zh-Hans" w:bidi="ar-SA"/>
    </w:rPr>
  </w:style>
  <w:style w:type="paragraph" w:customStyle="1" w:styleId="47">
    <w:name w:val="无间隔1"/>
    <w:qFormat/>
    <w:uiPriority w:val="1"/>
    <w:pPr>
      <w:widowControl w:val="0"/>
      <w:spacing w:line="360" w:lineRule="auto"/>
      <w:jc w:val="both"/>
    </w:pPr>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18</Pages>
  <Words>4144</Words>
  <Characters>4364</Characters>
  <Lines>29</Lines>
  <Paragraphs>8</Paragraphs>
  <TotalTime>396</TotalTime>
  <ScaleCrop>false</ScaleCrop>
  <LinksUpToDate>false</LinksUpToDate>
  <CharactersWithSpaces>4473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2024-05-07T09:07:00Z</dcterms:created>
  <dc:creator>Admin</dc:creator>
  <cp:lastModifiedBy>杨福盛</cp:lastModifiedBy>
  <dcterms:modified xsi:type="dcterms:W3CDTF">2026-05-19T08:40:59Z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eyJoZGlkIjoiOTllY2IzMjcxYzZjZWZiMTgyM2M4YzNkYzEwNDI5NDEiLCJ1c2VySWQiOiIxNzMwMjM0MDM4In0=</vt:lpwstr>
  </property>
  <property fmtid="{D5CDD505-2E9C-101B-9397-08002B2CF9AE}" pid="3" name="KSOProductBuildVer">
    <vt:lpwstr>2052-12.1.0.25865</vt:lpwstr>
  </property>
  <property fmtid="{D5CDD505-2E9C-101B-9397-08002B2CF9AE}" pid="4" name="ICV">
    <vt:lpwstr>2220F6C92BB34C9EB953FA68181D28CD_13</vt:lpwstr>
  </property>
</Properties>
</file>