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B323C5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344C81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8321E5">
              <w:rPr>
                <w:rFonts w:ascii="仿宋_GB2312" w:eastAsia="仿宋_GB2312" w:hint="eastAsia"/>
                <w:bCs/>
                <w:sz w:val="32"/>
                <w:szCs w:val="32"/>
              </w:rPr>
              <w:t>恒压气腹机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B323C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B323C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B323C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8321E5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 xml:space="preserve">17：00 </w:t>
            </w:r>
            <w:r w:rsid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点</w:t>
            </w:r>
          </w:p>
          <w:p w:rsidR="00166F63" w:rsidRPr="008321E5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8321E5"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  <w:t>202</w:t>
            </w:r>
            <w:r w:rsidR="00F42EF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44C81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B323C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="006328E3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3A10D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3A10D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B323C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B323C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B323C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B323C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B323C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B323C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8321E5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恒压气腹机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8321E5" w:rsidP="00E55B1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29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8321E5">
        <w:rPr>
          <w:rFonts w:ascii="仿宋_GB2312" w:hAnsi="仿宋_GB2312" w:cs="仿宋_GB2312" w:hint="eastAsia"/>
          <w:bCs/>
          <w:sz w:val="32"/>
          <w:szCs w:val="32"/>
        </w:rPr>
        <w:t>恒压气腹机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B323C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8321E5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恒压气腹机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C9204B" w:rsidRPr="00C9204B" w:rsidRDefault="00C9204B" w:rsidP="00C9204B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C9204B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1.提供3种操作模式：一机多用，提供无阀气密模式、排烟模式、标准注气模式，满足各种临床及患者经济状况需求。</w:t>
            </w:r>
          </w:p>
          <w:p w:rsidR="00C9204B" w:rsidRPr="00C9204B" w:rsidRDefault="00C9204B" w:rsidP="00C9204B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C9204B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2.除烟功能:主机自带循环过滤功能，无需外接附属设备，实时清除腹腔烟雾，不直接排入手术室。</w:t>
            </w:r>
          </w:p>
          <w:p w:rsidR="00C9204B" w:rsidRPr="00C9204B" w:rsidRDefault="00C9204B" w:rsidP="00C9204B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C9204B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3.实现目标压力恒定控制</w:t>
            </w:r>
          </w:p>
          <w:p w:rsidR="00FB0E5F" w:rsidRPr="00393CBE" w:rsidRDefault="00FB0E5F" w:rsidP="00FF1A5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  <w:r w:rsidR="0082546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2546F" w:rsidRDefault="0082546F" w:rsidP="0082546F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10、报价单。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F4" w:rsidRDefault="000533F4" w:rsidP="00EC5835">
      <w:r>
        <w:separator/>
      </w:r>
    </w:p>
  </w:endnote>
  <w:endnote w:type="continuationSeparator" w:id="1">
    <w:p w:rsidR="000533F4" w:rsidRDefault="000533F4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F4" w:rsidRDefault="000533F4" w:rsidP="00EC5835">
      <w:r>
        <w:separator/>
      </w:r>
    </w:p>
  </w:footnote>
  <w:footnote w:type="continuationSeparator" w:id="1">
    <w:p w:rsidR="000533F4" w:rsidRDefault="000533F4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8C1C4041"/>
    <w:multiLevelType w:val="singleLevel"/>
    <w:tmpl w:val="8C1C4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6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8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3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6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4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9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28"/>
  </w:num>
  <w:num w:numId="13">
    <w:abstractNumId w:val="1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29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33F4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065BD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30C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44C81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10DD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4F23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0A7B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5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9677C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2546F"/>
    <w:rsid w:val="008321E5"/>
    <w:rsid w:val="00833E2A"/>
    <w:rsid w:val="008362CF"/>
    <w:rsid w:val="00840ACE"/>
    <w:rsid w:val="008448DA"/>
    <w:rsid w:val="008462CD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D756F"/>
    <w:rsid w:val="008E3DDB"/>
    <w:rsid w:val="008E74D0"/>
    <w:rsid w:val="008F1513"/>
    <w:rsid w:val="008F3A36"/>
    <w:rsid w:val="00900A5E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20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0CDB"/>
    <w:rsid w:val="00A11625"/>
    <w:rsid w:val="00A11C3A"/>
    <w:rsid w:val="00A138C1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AF3782"/>
    <w:rsid w:val="00B055C8"/>
    <w:rsid w:val="00B11D43"/>
    <w:rsid w:val="00B31E46"/>
    <w:rsid w:val="00B323C5"/>
    <w:rsid w:val="00B41AB1"/>
    <w:rsid w:val="00B44275"/>
    <w:rsid w:val="00B506F5"/>
    <w:rsid w:val="00B55587"/>
    <w:rsid w:val="00B65F0D"/>
    <w:rsid w:val="00B73779"/>
    <w:rsid w:val="00B74CD1"/>
    <w:rsid w:val="00B77837"/>
    <w:rsid w:val="00B87AB2"/>
    <w:rsid w:val="00B920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16769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04B"/>
    <w:rsid w:val="00C929F2"/>
    <w:rsid w:val="00CA6A17"/>
    <w:rsid w:val="00CC0578"/>
    <w:rsid w:val="00CC223E"/>
    <w:rsid w:val="00CC3AB5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2739"/>
    <w:rsid w:val="00DC3800"/>
    <w:rsid w:val="00DC4512"/>
    <w:rsid w:val="00DD4FE0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55B1D"/>
    <w:rsid w:val="00E62E6E"/>
    <w:rsid w:val="00E64B34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5FD0"/>
    <w:rsid w:val="00F47B8A"/>
    <w:rsid w:val="00F60332"/>
    <w:rsid w:val="00F60E7A"/>
    <w:rsid w:val="00F615BB"/>
    <w:rsid w:val="00F70A34"/>
    <w:rsid w:val="00F75574"/>
    <w:rsid w:val="00F86679"/>
    <w:rsid w:val="00F8772D"/>
    <w:rsid w:val="00FA0840"/>
    <w:rsid w:val="00FA629B"/>
    <w:rsid w:val="00FB0E5F"/>
    <w:rsid w:val="00FB4F5C"/>
    <w:rsid w:val="00FD018D"/>
    <w:rsid w:val="00FE2AAB"/>
    <w:rsid w:val="00FF15E0"/>
    <w:rsid w:val="00FF1A5E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208</Words>
  <Characters>1190</Characters>
  <Application>Microsoft Office Word</Application>
  <DocSecurity>0</DocSecurity>
  <Lines>9</Lines>
  <Paragraphs>2</Paragraphs>
  <ScaleCrop>false</ScaleCrop>
  <Company>Sky123.Org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Administrator</cp:lastModifiedBy>
  <cp:revision>5</cp:revision>
  <cp:lastPrinted>2026-06-23T02:35:00Z</cp:lastPrinted>
  <dcterms:created xsi:type="dcterms:W3CDTF">2026-06-23T09:37:00Z</dcterms:created>
  <dcterms:modified xsi:type="dcterms:W3CDTF">2026-07-01T11:17:00Z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