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928B7">
      <w:pPr>
        <w:pStyle w:val="2"/>
        <w:spacing w:before="0" w:after="0" w:line="576" w:lineRule="auto"/>
        <w:jc w:val="center"/>
        <w:rPr>
          <w:rFonts w:hint="eastAsia" w:ascii="方正小标宋简体" w:hAnsi="方正小标宋简体" w:eastAsia="方正小标宋简体" w:cs="方正小标宋简体"/>
          <w:b w:val="0"/>
          <w:color w:val="auto"/>
          <w:kern w:val="2"/>
          <w:sz w:val="44"/>
          <w:szCs w:val="44"/>
        </w:rPr>
      </w:pPr>
      <w:r>
        <w:rPr>
          <w:rFonts w:hint="eastAsia" w:ascii="方正小标宋简体" w:hAnsi="方正小标宋简体" w:eastAsia="方正小标宋简体" w:cs="方正小标宋简体"/>
          <w:b w:val="0"/>
          <w:color w:val="auto"/>
          <w:kern w:val="2"/>
          <w:sz w:val="44"/>
          <w:szCs w:val="44"/>
        </w:rPr>
        <w:t>福建省肿瘤医院</w:t>
      </w:r>
      <w:r>
        <w:rPr>
          <w:rFonts w:hint="eastAsia" w:ascii="方正小标宋简体" w:hAnsi="方正小标宋简体" w:eastAsia="方正小标宋简体" w:cs="方正小标宋简体"/>
          <w:b w:val="0"/>
          <w:color w:val="auto"/>
          <w:kern w:val="2"/>
          <w:sz w:val="44"/>
          <w:szCs w:val="44"/>
          <w:lang w:val="en-US" w:eastAsia="zh-CN"/>
        </w:rPr>
        <w:t>采购调研</w:t>
      </w:r>
      <w:r>
        <w:rPr>
          <w:rFonts w:hint="eastAsia" w:ascii="方正小标宋简体" w:hAnsi="方正小标宋简体" w:eastAsia="方正小标宋简体" w:cs="方正小标宋简体"/>
          <w:b w:val="0"/>
          <w:color w:val="auto"/>
          <w:kern w:val="2"/>
          <w:sz w:val="44"/>
          <w:szCs w:val="44"/>
        </w:rPr>
        <w:t>公告</w:t>
      </w:r>
    </w:p>
    <w:p w14:paraId="2E7B9B6A">
      <w:pPr>
        <w:shd w:val="clear" w:color="auto" w:fill="FFFFFF"/>
        <w:adjustRightInd w:val="0"/>
        <w:snapToGrid w:val="0"/>
        <w:spacing w:before="156" w:beforeLines="50" w:line="590" w:lineRule="exac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shd w:val="clear" w:color="auto" w:fill="FFFFFF"/>
        </w:rPr>
        <w:t>第一部分 须知前附表</w:t>
      </w:r>
    </w:p>
    <w:tbl>
      <w:tblPr>
        <w:tblStyle w:val="16"/>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1FE917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705EE59">
            <w:pPr>
              <w:pStyle w:val="14"/>
              <w:widowControl/>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95B90E">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主　　　要　　　 内　　　 容</w:t>
            </w:r>
          </w:p>
        </w:tc>
      </w:tr>
      <w:tr w14:paraId="3B30AD9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26BDDE">
            <w:pPr>
              <w:spacing w:line="315" w:lineRule="atLeas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C5006A5">
            <w:pPr>
              <w:spacing w:line="315" w:lineRule="atLeas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医院信息国产化设备(磁盘阵列、交换机等)</w:t>
            </w:r>
            <w:r>
              <w:rPr>
                <w:rFonts w:hint="eastAsia" w:ascii="仿宋_GB2312" w:hAnsi="仿宋_GB2312" w:eastAsia="仿宋_GB2312" w:cs="仿宋_GB2312"/>
                <w:color w:val="000000"/>
                <w:sz w:val="32"/>
                <w:szCs w:val="32"/>
                <w:lang w:eastAsia="zh-CN"/>
              </w:rPr>
              <w:t>；</w:t>
            </w:r>
          </w:p>
          <w:p w14:paraId="054ECD90">
            <w:pPr>
              <w:numPr>
                <w:ilvl w:val="0"/>
                <w:numId w:val="0"/>
              </w:numPr>
              <w:spacing w:line="315" w:lineRule="atLeas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项目2：医院信息国产化设备（服务器）</w:t>
            </w:r>
            <w:r>
              <w:rPr>
                <w:rFonts w:hint="eastAsia" w:ascii="仿宋_GB2312" w:hAnsi="仿宋_GB2312" w:eastAsia="仿宋_GB2312" w:cs="仿宋_GB2312"/>
                <w:color w:val="000000"/>
                <w:sz w:val="32"/>
                <w:szCs w:val="32"/>
              </w:rPr>
              <w:t xml:space="preserve">  </w:t>
            </w:r>
          </w:p>
        </w:tc>
      </w:tr>
      <w:tr w14:paraId="5E1B9B2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580F829">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FBD2977">
            <w:pPr>
              <w:spacing w:before="150"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调研报名时间： 2026 年</w:t>
            </w:r>
            <w:r>
              <w:rPr>
                <w:rFonts w:hint="eastAsia" w:ascii="仿宋_GB2312" w:hAnsi="仿宋_GB2312" w:eastAsia="仿宋_GB2312" w:cs="仿宋_GB2312"/>
                <w:color w:val="000000"/>
                <w:sz w:val="32"/>
                <w:szCs w:val="32"/>
                <w:u w:val="single"/>
                <w:lang w:val="en-US" w:eastAsia="zh-CN"/>
              </w:rPr>
              <w:t>7</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u w:val="single"/>
                <w:lang w:val="en-US" w:eastAsia="zh-CN"/>
              </w:rPr>
              <w:t>15</w:t>
            </w:r>
            <w:r>
              <w:rPr>
                <w:rFonts w:hint="eastAsia" w:ascii="仿宋_GB2312" w:hAnsi="仿宋_GB2312" w:eastAsia="仿宋_GB2312" w:cs="仿宋_GB2312"/>
                <w:color w:val="000000"/>
                <w:sz w:val="32"/>
                <w:szCs w:val="32"/>
              </w:rPr>
              <w:t xml:space="preserve">日至 </w:t>
            </w:r>
            <w:r>
              <w:rPr>
                <w:rFonts w:hint="eastAsia" w:ascii="仿宋_GB2312" w:hAnsi="仿宋_GB2312" w:eastAsia="仿宋_GB2312" w:cs="仿宋_GB2312"/>
                <w:color w:val="000000"/>
                <w:sz w:val="32"/>
                <w:szCs w:val="32"/>
                <w:u w:val="single"/>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lang w:val="en-US" w:eastAsia="zh-CN"/>
              </w:rPr>
              <w:t>21</w:t>
            </w:r>
            <w:r>
              <w:rPr>
                <w:rFonts w:hint="eastAsia" w:ascii="仿宋_GB2312" w:hAnsi="仿宋_GB2312" w:eastAsia="仿宋_GB2312" w:cs="仿宋_GB2312"/>
                <w:color w:val="000000"/>
                <w:sz w:val="32"/>
                <w:szCs w:val="32"/>
              </w:rPr>
              <w:t xml:space="preserve">日 </w:t>
            </w:r>
            <w:r>
              <w:rPr>
                <w:rFonts w:hint="eastAsia" w:ascii="仿宋_GB2312" w:hAnsi="仿宋_GB2312" w:eastAsia="仿宋_GB2312" w:cs="仿宋_GB2312"/>
                <w:color w:val="000000"/>
                <w:spacing w:val="-8"/>
                <w:sz w:val="32"/>
                <w:szCs w:val="32"/>
                <w:shd w:val="clear" w:color="auto" w:fill="FFFFFF"/>
              </w:rPr>
              <w:t>(节假日除外)8：00-12：00或14：</w:t>
            </w:r>
            <w:r>
              <w:rPr>
                <w:rFonts w:hint="eastAsia" w:ascii="仿宋_GB2312" w:hAnsi="仿宋_GB2312" w:eastAsia="仿宋_GB2312" w:cs="仿宋_GB2312"/>
                <w:color w:val="000000"/>
                <w:spacing w:val="-8"/>
                <w:sz w:val="32"/>
                <w:szCs w:val="32"/>
                <w:shd w:val="clear" w:color="auto" w:fill="FFFFFF"/>
                <w:lang w:val="en-US" w:eastAsia="zh-CN"/>
              </w:rPr>
              <w:t>3</w:t>
            </w:r>
            <w:r>
              <w:rPr>
                <w:rFonts w:hint="eastAsia" w:ascii="仿宋_GB2312" w:hAnsi="仿宋_GB2312" w:eastAsia="仿宋_GB2312" w:cs="仿宋_GB2312"/>
                <w:color w:val="000000"/>
                <w:spacing w:val="-8"/>
                <w:sz w:val="32"/>
                <w:szCs w:val="32"/>
                <w:shd w:val="clear" w:color="auto" w:fill="FFFFFF"/>
              </w:rPr>
              <w:t>0-17：30(北京时间）</w:t>
            </w:r>
          </w:p>
          <w:p w14:paraId="26EC9BA4">
            <w:pPr>
              <w:spacing w:line="315" w:lineRule="atLeas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调研会时间： 2026 年</w:t>
            </w:r>
            <w:r>
              <w:rPr>
                <w:rFonts w:hint="eastAsia" w:ascii="仿宋_GB2312" w:hAnsi="仿宋_GB2312" w:eastAsia="仿宋_GB2312" w:cs="仿宋_GB2312"/>
                <w:color w:val="000000"/>
                <w:sz w:val="32"/>
                <w:szCs w:val="32"/>
                <w:u w:val="single"/>
                <w:lang w:val="en-US" w:eastAsia="zh-CN"/>
              </w:rPr>
              <w:t>7</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u w:val="single"/>
                <w:lang w:val="en-US" w:eastAsia="zh-CN"/>
              </w:rPr>
              <w:t>24</w:t>
            </w:r>
            <w:r>
              <w:rPr>
                <w:rFonts w:hint="eastAsia" w:ascii="仿宋_GB2312" w:hAnsi="仿宋_GB2312" w:eastAsia="仿宋_GB2312" w:cs="仿宋_GB2312"/>
                <w:color w:val="000000"/>
                <w:sz w:val="32"/>
                <w:szCs w:val="32"/>
              </w:rPr>
              <w:t xml:space="preserve">日 </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0</w:t>
            </w:r>
          </w:p>
        </w:tc>
      </w:tr>
      <w:tr w14:paraId="6FC167A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41BDFF6">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C6BD46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color w:val="000000"/>
                <w:sz w:val="32"/>
                <w:szCs w:val="32"/>
                <w:u w:val="single"/>
                <w:lang w:val="en-US" w:eastAsia="zh-CN"/>
              </w:rPr>
              <w:t>叁</w:t>
            </w:r>
            <w:r>
              <w:rPr>
                <w:rFonts w:hint="eastAsia" w:ascii="仿宋_GB2312" w:hAnsi="仿宋_GB2312" w:eastAsia="仿宋_GB2312" w:cs="仿宋_GB2312"/>
                <w:color w:val="000000"/>
                <w:sz w:val="32"/>
                <w:szCs w:val="32"/>
              </w:rPr>
              <w:t>份胶装并密封加盖投标人公章。文件未胶装将视为无效。</w:t>
            </w:r>
          </w:p>
        </w:tc>
      </w:tr>
      <w:tr w14:paraId="153BF9F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9B2A738">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C5EDA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文件递交处：福建省肿瘤医院网络技术中心</w:t>
            </w:r>
          </w:p>
        </w:tc>
      </w:tr>
      <w:tr w14:paraId="2ACC113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8F22737">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D74DA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上述时间、地点如有变动，以单位届时通知为准。</w:t>
            </w:r>
          </w:p>
        </w:tc>
      </w:tr>
      <w:tr w14:paraId="1C4E56B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1BD07E6">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E50719">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shd w:val="clear" w:color="auto" w:fill="FFFFFF"/>
              </w:rPr>
              <w:t>采购报名、采购调研等采购过程中有任何异议，可联系我院监督科室。电话：83660063-8407；83660063-8467。</w:t>
            </w:r>
          </w:p>
        </w:tc>
      </w:tr>
    </w:tbl>
    <w:p w14:paraId="0461CECD">
      <w:pPr>
        <w:shd w:val="clear" w:color="auto" w:fill="FFFFFF"/>
        <w:spacing w:line="336" w:lineRule="auto"/>
        <w:rPr>
          <w:rFonts w:ascii="仿宋_GB2312" w:hAnsi="仿宋_GB2312" w:eastAsia="仿宋_GB2312" w:cs="仿宋_GB2312"/>
          <w:bCs/>
          <w:color w:val="000000"/>
          <w:sz w:val="32"/>
          <w:szCs w:val="32"/>
          <w:shd w:val="clear" w:color="auto" w:fill="FFFFFF"/>
        </w:rPr>
      </w:pPr>
    </w:p>
    <w:p w14:paraId="37474EE9">
      <w:pPr>
        <w:shd w:val="clear" w:color="auto" w:fill="FFFFFF"/>
        <w:spacing w:line="336" w:lineRule="auto"/>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 xml:space="preserve">地　址： 福建省福州市福马路420号 </w:t>
      </w:r>
    </w:p>
    <w:p w14:paraId="45AB2293">
      <w:pPr>
        <w:shd w:val="clear" w:color="auto" w:fill="FFFFFF"/>
        <w:spacing w:line="336"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福建省肿瘤医院科研楼四楼网络技术中心</w:t>
      </w:r>
    </w:p>
    <w:p w14:paraId="515A4AC0">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邮　编： 350014　 </w:t>
      </w:r>
    </w:p>
    <w:p w14:paraId="0FF2906E">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报名联系电话：</w:t>
      </w:r>
      <w:r>
        <w:rPr>
          <w:rFonts w:hint="eastAsia" w:ascii="仿宋_GB2312" w:hAnsi="仿宋_GB2312" w:eastAsia="仿宋_GB2312" w:cs="仿宋_GB2312"/>
          <w:bCs/>
          <w:color w:val="000000"/>
          <w:sz w:val="28"/>
          <w:szCs w:val="28"/>
          <w:shd w:val="clear" w:color="auto" w:fill="FFFFFF"/>
        </w:rPr>
        <w:t xml:space="preserve">0591-62002097、83660063-8822、83660063-8279 </w:t>
      </w:r>
    </w:p>
    <w:p w14:paraId="7BDAB4B6">
      <w:pPr>
        <w:shd w:val="clear" w:color="auto" w:fill="FFFFFF"/>
        <w:spacing w:line="440" w:lineRule="atLeast"/>
        <w:rPr>
          <w:rFonts w:hint="default" w:ascii="仿宋_GB2312" w:hAnsi="仿宋_GB2312" w:eastAsia="仿宋_GB2312" w:cs="仿宋_GB2312"/>
          <w:bCs/>
          <w:color w:val="000000"/>
          <w:sz w:val="32"/>
          <w:szCs w:val="32"/>
          <w:shd w:val="clear" w:color="auto" w:fill="FFFFFF"/>
          <w:lang w:val="en-US" w:eastAsia="zh-CN"/>
        </w:rPr>
      </w:pPr>
      <w:r>
        <w:rPr>
          <w:rFonts w:hint="eastAsia" w:ascii="仿宋_GB2312" w:hAnsi="仿宋_GB2312" w:eastAsia="仿宋_GB2312" w:cs="仿宋_GB2312"/>
          <w:bCs/>
          <w:color w:val="000000"/>
          <w:sz w:val="32"/>
          <w:szCs w:val="32"/>
          <w:shd w:val="clear" w:color="auto" w:fill="FFFFFF"/>
        </w:rPr>
        <w:t xml:space="preserve">联系人： </w:t>
      </w:r>
      <w:r>
        <w:rPr>
          <w:rFonts w:hint="eastAsia" w:ascii="仿宋_GB2312" w:hAnsi="仿宋_GB2312" w:eastAsia="仿宋_GB2312" w:cs="仿宋_GB2312"/>
          <w:bCs/>
          <w:color w:val="000000"/>
          <w:sz w:val="32"/>
          <w:szCs w:val="32"/>
          <w:shd w:val="clear" w:color="auto" w:fill="FFFFFF"/>
          <w:lang w:val="en-US" w:eastAsia="zh-CN"/>
        </w:rPr>
        <w:t>杜工、郑工</w:t>
      </w:r>
    </w:p>
    <w:p w14:paraId="27DBD21D">
      <w:pPr>
        <w:shd w:val="clear" w:color="auto" w:fill="FFFFFF"/>
        <w:adjustRightInd w:val="0"/>
        <w:snapToGrid w:val="0"/>
        <w:spacing w:before="156" w:beforeLines="50" w:line="590" w:lineRule="exact"/>
        <w:jc w:val="center"/>
      </w:pPr>
      <w:r>
        <w:rPr>
          <w:rFonts w:hint="eastAsia" w:ascii="仿宋_GB2312" w:hAnsi="仿宋_GB2312" w:eastAsia="仿宋_GB2312" w:cs="仿宋_GB2312"/>
          <w:b/>
          <w:color w:val="000000"/>
          <w:sz w:val="32"/>
          <w:szCs w:val="32"/>
          <w:shd w:val="clear" w:color="auto" w:fill="FFFFFF"/>
        </w:rPr>
        <w:t>第二部分 具体要求</w:t>
      </w:r>
    </w:p>
    <w:p w14:paraId="03DEC564">
      <w:pPr>
        <w:numPr>
          <w:ilvl w:val="0"/>
          <w:numId w:val="1"/>
        </w:numPr>
        <w:spacing w:line="360" w:lineRule="auto"/>
        <w:rPr>
          <w:rFonts w:hint="eastAsia"/>
          <w:b/>
          <w:bCs/>
          <w:sz w:val="28"/>
          <w:szCs w:val="28"/>
        </w:rPr>
      </w:pPr>
      <w:r>
        <w:rPr>
          <w:rFonts w:hint="eastAsia"/>
          <w:b/>
          <w:bCs/>
          <w:sz w:val="28"/>
          <w:szCs w:val="28"/>
        </w:rPr>
        <w:t>采购内容</w:t>
      </w:r>
    </w:p>
    <w:p w14:paraId="5229000A">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调研设项目1、项目2，每个项目均分低配、高配两种配置版本。参与本次调研报名的供应商、厂商，须针对两种版本分别提交完整配置参数、技术方案、分项报价及总价，不得合并报价。报名参与本次调研的供应商或厂家可</w:t>
      </w:r>
      <w:r>
        <w:rPr>
          <w:rFonts w:hint="eastAsia" w:cs="宋体"/>
          <w:sz w:val="28"/>
          <w:szCs w:val="28"/>
          <w:lang w:val="en-US" w:eastAsia="zh-CN"/>
        </w:rPr>
        <w:t>自行选择报名单个项目或同时报名两个项目。</w:t>
      </w:r>
    </w:p>
    <w:p w14:paraId="5835AD7C">
      <w:pPr>
        <w:numPr>
          <w:ilvl w:val="0"/>
          <w:numId w:val="0"/>
        </w:numPr>
        <w:spacing w:line="36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项目1</w:t>
      </w:r>
      <w:r>
        <w:rPr>
          <w:rFonts w:hint="eastAsia" w:cs="宋体"/>
          <w:b/>
          <w:bCs/>
          <w:sz w:val="28"/>
          <w:szCs w:val="28"/>
          <w:lang w:val="en-US" w:eastAsia="zh-CN"/>
        </w:rPr>
        <w:t xml:space="preserve"> 低配版</w:t>
      </w:r>
    </w:p>
    <w:tbl>
      <w:tblPr>
        <w:tblStyle w:val="16"/>
        <w:tblW w:w="5000" w:type="pct"/>
        <w:tblInd w:w="0" w:type="dxa"/>
        <w:tblLayout w:type="autofit"/>
        <w:tblCellMar>
          <w:top w:w="0" w:type="dxa"/>
          <w:left w:w="108" w:type="dxa"/>
          <w:bottom w:w="0" w:type="dxa"/>
          <w:right w:w="108" w:type="dxa"/>
        </w:tblCellMar>
      </w:tblPr>
      <w:tblGrid>
        <w:gridCol w:w="596"/>
        <w:gridCol w:w="1875"/>
        <w:gridCol w:w="4805"/>
        <w:gridCol w:w="1246"/>
      </w:tblGrid>
      <w:tr w14:paraId="0E2249A9">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vAlign w:val="center"/>
          </w:tcPr>
          <w:p w14:paraId="056981BF">
            <w:pPr>
              <w:jc w:val="center"/>
              <w:rPr>
                <w:rFonts w:ascii="宋体" w:hAnsi="宋体" w:eastAsia="宋体" w:cs="宋体"/>
                <w:b/>
                <w:bCs/>
                <w:kern w:val="0"/>
                <w:sz w:val="22"/>
                <w:szCs w:val="22"/>
              </w:rPr>
            </w:pPr>
            <w:r>
              <w:rPr>
                <w:rFonts w:hint="eastAsia" w:ascii="宋体" w:hAnsi="宋体" w:eastAsia="宋体" w:cs="宋体"/>
                <w:b/>
                <w:bCs/>
                <w:kern w:val="0"/>
                <w:sz w:val="22"/>
                <w:szCs w:val="22"/>
              </w:rPr>
              <w:t>序号</w:t>
            </w:r>
          </w:p>
        </w:tc>
        <w:tc>
          <w:tcPr>
            <w:tcW w:w="1100" w:type="pct"/>
            <w:tcBorders>
              <w:top w:val="single" w:color="auto" w:sz="4" w:space="0"/>
              <w:left w:val="nil"/>
              <w:bottom w:val="single" w:color="auto" w:sz="4" w:space="0"/>
              <w:right w:val="single" w:color="auto" w:sz="4" w:space="0"/>
            </w:tcBorders>
            <w:vAlign w:val="center"/>
          </w:tcPr>
          <w:p w14:paraId="3BA3340F">
            <w:pPr>
              <w:jc w:val="center"/>
              <w:rPr>
                <w:rFonts w:ascii="宋体" w:hAnsi="宋体" w:eastAsia="宋体" w:cs="宋体"/>
                <w:b/>
                <w:bCs/>
                <w:kern w:val="0"/>
                <w:sz w:val="22"/>
                <w:szCs w:val="22"/>
              </w:rPr>
            </w:pPr>
            <w:r>
              <w:rPr>
                <w:rFonts w:hint="eastAsia" w:ascii="宋体" w:hAnsi="宋体" w:eastAsia="宋体" w:cs="宋体"/>
                <w:b/>
                <w:bCs/>
                <w:kern w:val="0"/>
                <w:sz w:val="22"/>
                <w:szCs w:val="22"/>
              </w:rPr>
              <w:t>设备名称</w:t>
            </w:r>
          </w:p>
        </w:tc>
        <w:tc>
          <w:tcPr>
            <w:tcW w:w="2819" w:type="pct"/>
            <w:tcBorders>
              <w:top w:val="single" w:color="auto" w:sz="4" w:space="0"/>
              <w:left w:val="nil"/>
              <w:bottom w:val="single" w:color="auto" w:sz="4" w:space="0"/>
              <w:right w:val="single" w:color="auto" w:sz="4" w:space="0"/>
            </w:tcBorders>
            <w:vAlign w:val="center"/>
          </w:tcPr>
          <w:p w14:paraId="7F10FBB6">
            <w:pPr>
              <w:jc w:val="center"/>
              <w:rPr>
                <w:rFonts w:ascii="宋体" w:hAnsi="宋体" w:eastAsia="宋体" w:cs="宋体"/>
                <w:b/>
                <w:bCs/>
                <w:kern w:val="0"/>
                <w:sz w:val="22"/>
                <w:szCs w:val="22"/>
              </w:rPr>
            </w:pPr>
            <w:r>
              <w:rPr>
                <w:rFonts w:hint="eastAsia" w:ascii="宋体" w:hAnsi="宋体" w:eastAsia="宋体" w:cs="宋体"/>
                <w:b/>
                <w:bCs/>
                <w:kern w:val="0"/>
                <w:sz w:val="22"/>
                <w:szCs w:val="22"/>
              </w:rPr>
              <w:t>配置要求</w:t>
            </w:r>
          </w:p>
        </w:tc>
        <w:tc>
          <w:tcPr>
            <w:tcW w:w="731" w:type="pct"/>
            <w:tcBorders>
              <w:top w:val="single" w:color="auto" w:sz="4" w:space="0"/>
              <w:left w:val="nil"/>
              <w:bottom w:val="single" w:color="auto" w:sz="4" w:space="0"/>
              <w:right w:val="single" w:color="auto" w:sz="4" w:space="0"/>
            </w:tcBorders>
            <w:vAlign w:val="center"/>
          </w:tcPr>
          <w:p w14:paraId="059A5E5A">
            <w:pPr>
              <w:jc w:val="center"/>
              <w:rPr>
                <w:rFonts w:ascii="宋体" w:hAnsi="宋体" w:eastAsia="宋体" w:cs="宋体"/>
                <w:b/>
                <w:bCs/>
                <w:kern w:val="0"/>
                <w:sz w:val="22"/>
                <w:szCs w:val="22"/>
              </w:rPr>
            </w:pPr>
            <w:r>
              <w:rPr>
                <w:rFonts w:hint="eastAsia" w:ascii="宋体" w:hAnsi="宋体" w:eastAsia="宋体" w:cs="宋体"/>
                <w:b/>
                <w:bCs/>
                <w:kern w:val="0"/>
                <w:sz w:val="22"/>
                <w:szCs w:val="22"/>
              </w:rPr>
              <w:t>数量</w:t>
            </w:r>
          </w:p>
        </w:tc>
      </w:tr>
      <w:tr w14:paraId="2E1AF57F">
        <w:tblPrEx>
          <w:tblCellMar>
            <w:top w:w="0" w:type="dxa"/>
            <w:left w:w="108" w:type="dxa"/>
            <w:bottom w:w="0" w:type="dxa"/>
            <w:right w:w="108" w:type="dxa"/>
          </w:tblCellMar>
        </w:tblPrEx>
        <w:trPr>
          <w:trHeight w:val="20" w:hRule="atLeast"/>
        </w:trPr>
        <w:tc>
          <w:tcPr>
            <w:tcW w:w="350" w:type="pct"/>
            <w:tcBorders>
              <w:top w:val="nil"/>
              <w:left w:val="single" w:color="auto" w:sz="4" w:space="0"/>
              <w:bottom w:val="single" w:color="auto" w:sz="4" w:space="0"/>
              <w:right w:val="single" w:color="auto" w:sz="4" w:space="0"/>
            </w:tcBorders>
            <w:vAlign w:val="center"/>
          </w:tcPr>
          <w:p w14:paraId="544DA42A">
            <w:pPr>
              <w:jc w:val="both"/>
              <w:rPr>
                <w:rFonts w:ascii="宋体" w:hAnsi="宋体" w:eastAsia="宋体" w:cs="宋体"/>
                <w:b/>
                <w:bCs/>
                <w:kern w:val="0"/>
                <w:sz w:val="22"/>
                <w:szCs w:val="22"/>
              </w:rPr>
            </w:pPr>
            <w:r>
              <w:rPr>
                <w:rFonts w:hint="eastAsia" w:ascii="宋体" w:hAnsi="宋体" w:eastAsia="宋体" w:cs="宋体"/>
                <w:b/>
                <w:bCs/>
                <w:kern w:val="0"/>
                <w:sz w:val="22"/>
                <w:szCs w:val="22"/>
              </w:rPr>
              <w:t>1</w:t>
            </w:r>
          </w:p>
        </w:tc>
        <w:tc>
          <w:tcPr>
            <w:tcW w:w="1100" w:type="pct"/>
            <w:tcBorders>
              <w:top w:val="nil"/>
              <w:left w:val="nil"/>
              <w:bottom w:val="single" w:color="auto" w:sz="4" w:space="0"/>
              <w:right w:val="single" w:color="auto" w:sz="4" w:space="0"/>
            </w:tcBorders>
            <w:vAlign w:val="center"/>
          </w:tcPr>
          <w:p w14:paraId="419FC250">
            <w:pPr>
              <w:jc w:val="both"/>
              <w:rPr>
                <w:rFonts w:ascii="宋体" w:hAnsi="宋体" w:eastAsia="宋体" w:cs="宋体"/>
                <w:b/>
                <w:bCs/>
                <w:kern w:val="0"/>
                <w:sz w:val="22"/>
                <w:szCs w:val="22"/>
              </w:rPr>
            </w:pPr>
            <w:r>
              <w:rPr>
                <w:rFonts w:hint="eastAsia" w:ascii="宋体" w:hAnsi="宋体" w:eastAsia="宋体" w:cs="宋体"/>
                <w:b/>
                <w:bCs/>
                <w:kern w:val="0"/>
                <w:sz w:val="22"/>
                <w:szCs w:val="22"/>
              </w:rPr>
              <w:t>国产化交换机</w:t>
            </w:r>
          </w:p>
        </w:tc>
        <w:tc>
          <w:tcPr>
            <w:tcW w:w="2819" w:type="pct"/>
            <w:tcBorders>
              <w:top w:val="nil"/>
              <w:left w:val="nil"/>
              <w:bottom w:val="single" w:color="auto" w:sz="4" w:space="0"/>
              <w:right w:val="single" w:color="auto" w:sz="4" w:space="0"/>
            </w:tcBorders>
            <w:vAlign w:val="center"/>
          </w:tcPr>
          <w:p w14:paraId="28EE55D9">
            <w:pPr>
              <w:jc w:val="both"/>
              <w:rPr>
                <w:rFonts w:ascii="宋体" w:hAnsi="宋体" w:eastAsia="宋体" w:cs="宋体"/>
                <w:kern w:val="0"/>
                <w:sz w:val="22"/>
                <w:szCs w:val="22"/>
              </w:rPr>
            </w:pPr>
            <w:r>
              <w:rPr>
                <w:rFonts w:hint="eastAsia" w:ascii="宋体" w:hAnsi="宋体" w:eastAsia="宋体" w:cs="宋体"/>
                <w:kern w:val="0"/>
                <w:sz w:val="22"/>
                <w:szCs w:val="22"/>
              </w:rPr>
              <w:t>1、交换容量≥4.8Tbps，包转发率≥2000Mpps；</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2、整机支持≥48个万兆光口，≥6个40G光口；配置≥4个可插拔风扇模块，交流双电源；</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3、支持静态路由、RIP V1/2、OSPF、IS-IS、BGP、RIPng、OSPFv3、BGP4+、ISISv6；</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4、设备CPU和转发芯片为国产芯片；</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5、支持防ARP攻击、DOS攻击、ICMP防攻击、CPU防攻击；</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6、支持SNMP v1/v2/v3、Telnet、RMON、SSHv2；</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7、配置≥48个10G多模光模块，≥2个40G多模光模块；</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8、提供5年原厂维保服务；</w:t>
            </w:r>
          </w:p>
        </w:tc>
        <w:tc>
          <w:tcPr>
            <w:tcW w:w="731" w:type="pct"/>
            <w:tcBorders>
              <w:top w:val="nil"/>
              <w:left w:val="nil"/>
              <w:bottom w:val="single" w:color="auto" w:sz="4" w:space="0"/>
              <w:right w:val="single" w:color="auto" w:sz="4" w:space="0"/>
            </w:tcBorders>
            <w:vAlign w:val="center"/>
          </w:tcPr>
          <w:p w14:paraId="382CEA08">
            <w:pPr>
              <w:jc w:val="both"/>
              <w:rPr>
                <w:rFonts w:ascii="宋体" w:hAnsi="宋体" w:eastAsia="宋体" w:cs="宋体"/>
                <w:kern w:val="0"/>
                <w:sz w:val="22"/>
                <w:szCs w:val="22"/>
              </w:rPr>
            </w:pPr>
            <w:r>
              <w:rPr>
                <w:rFonts w:hint="eastAsia" w:ascii="宋体" w:hAnsi="宋体" w:eastAsia="宋体" w:cs="宋体"/>
                <w:kern w:val="0"/>
                <w:sz w:val="22"/>
                <w:szCs w:val="22"/>
              </w:rPr>
              <w:t>4台</w:t>
            </w:r>
          </w:p>
        </w:tc>
      </w:tr>
      <w:tr w14:paraId="7F5CB4D8">
        <w:tblPrEx>
          <w:tblCellMar>
            <w:top w:w="0" w:type="dxa"/>
            <w:left w:w="108" w:type="dxa"/>
            <w:bottom w:w="0" w:type="dxa"/>
            <w:right w:w="108" w:type="dxa"/>
          </w:tblCellMar>
        </w:tblPrEx>
        <w:trPr>
          <w:trHeight w:val="20" w:hRule="atLeast"/>
        </w:trPr>
        <w:tc>
          <w:tcPr>
            <w:tcW w:w="350" w:type="pct"/>
            <w:tcBorders>
              <w:top w:val="nil"/>
              <w:left w:val="single" w:color="auto" w:sz="4" w:space="0"/>
              <w:bottom w:val="single" w:color="auto" w:sz="4" w:space="0"/>
              <w:right w:val="single" w:color="auto" w:sz="4" w:space="0"/>
            </w:tcBorders>
            <w:vAlign w:val="center"/>
          </w:tcPr>
          <w:p w14:paraId="5B48D2A4">
            <w:pPr>
              <w:jc w:val="both"/>
              <w:rPr>
                <w:rFonts w:ascii="宋体" w:hAnsi="宋体" w:eastAsia="宋体" w:cs="宋体"/>
                <w:b/>
                <w:bCs/>
                <w:kern w:val="0"/>
                <w:sz w:val="22"/>
                <w:szCs w:val="22"/>
              </w:rPr>
            </w:pPr>
            <w:r>
              <w:rPr>
                <w:rFonts w:hint="eastAsia" w:ascii="宋体" w:hAnsi="宋体" w:eastAsia="宋体" w:cs="宋体"/>
                <w:b/>
                <w:bCs/>
                <w:kern w:val="0"/>
                <w:sz w:val="22"/>
                <w:szCs w:val="22"/>
              </w:rPr>
              <w:t>2</w:t>
            </w:r>
          </w:p>
        </w:tc>
        <w:tc>
          <w:tcPr>
            <w:tcW w:w="1100" w:type="pct"/>
            <w:tcBorders>
              <w:top w:val="nil"/>
              <w:left w:val="nil"/>
              <w:bottom w:val="single" w:color="auto" w:sz="4" w:space="0"/>
              <w:right w:val="single" w:color="auto" w:sz="4" w:space="0"/>
            </w:tcBorders>
            <w:vAlign w:val="center"/>
          </w:tcPr>
          <w:p w14:paraId="13C5BEB0">
            <w:pPr>
              <w:jc w:val="both"/>
              <w:rPr>
                <w:rFonts w:ascii="宋体" w:hAnsi="宋体" w:eastAsia="宋体" w:cs="宋体"/>
                <w:b/>
                <w:bCs/>
                <w:kern w:val="0"/>
                <w:sz w:val="22"/>
                <w:szCs w:val="22"/>
              </w:rPr>
            </w:pPr>
            <w:r>
              <w:rPr>
                <w:rFonts w:hint="eastAsia" w:ascii="宋体" w:hAnsi="宋体" w:eastAsia="宋体" w:cs="宋体"/>
                <w:b/>
                <w:bCs/>
                <w:kern w:val="0"/>
                <w:sz w:val="22"/>
                <w:szCs w:val="22"/>
              </w:rPr>
              <w:t>国产化光纤交换机</w:t>
            </w:r>
          </w:p>
        </w:tc>
        <w:tc>
          <w:tcPr>
            <w:tcW w:w="2819" w:type="pct"/>
            <w:tcBorders>
              <w:top w:val="nil"/>
              <w:left w:val="nil"/>
              <w:bottom w:val="single" w:color="auto" w:sz="4" w:space="0"/>
              <w:right w:val="single" w:color="auto" w:sz="4" w:space="0"/>
            </w:tcBorders>
            <w:vAlign w:val="center"/>
          </w:tcPr>
          <w:p w14:paraId="24312900">
            <w:pPr>
              <w:jc w:val="both"/>
              <w:rPr>
                <w:rFonts w:ascii="宋体" w:hAnsi="宋体" w:eastAsia="宋体" w:cs="宋体"/>
                <w:kern w:val="0"/>
                <w:sz w:val="22"/>
                <w:szCs w:val="22"/>
              </w:rPr>
            </w:pPr>
            <w:r>
              <w:rPr>
                <w:rFonts w:hint="eastAsia" w:ascii="宋体" w:hAnsi="宋体" w:eastAsia="宋体" w:cs="宋体"/>
                <w:kern w:val="0"/>
                <w:sz w:val="22"/>
                <w:szCs w:val="22"/>
              </w:rPr>
              <w:t>1、整机能够支持≥48个64G SFP+端口；本次激活≥48个32G端口；含≥48个32Gb多模光模块；配置双电源；</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2、支持 E 端口、F 端口、M 端口、D 端口和 EX 端口；</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3、支持8、16、32和64G端口速度自适应；</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4、支持基于帧的链路捆绑，每条ISL捆绑链路最多8个SFP+端口；每条ISL捆绑链路最高512Gb/s的吞吐量；</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5、提供5年原厂维保服务；</w:t>
            </w:r>
          </w:p>
        </w:tc>
        <w:tc>
          <w:tcPr>
            <w:tcW w:w="731" w:type="pct"/>
            <w:tcBorders>
              <w:top w:val="nil"/>
              <w:left w:val="nil"/>
              <w:bottom w:val="single" w:color="auto" w:sz="4" w:space="0"/>
              <w:right w:val="single" w:color="auto" w:sz="4" w:space="0"/>
            </w:tcBorders>
            <w:vAlign w:val="center"/>
          </w:tcPr>
          <w:p w14:paraId="2170CC5C">
            <w:pPr>
              <w:jc w:val="both"/>
              <w:rPr>
                <w:rFonts w:ascii="宋体" w:hAnsi="宋体" w:eastAsia="宋体" w:cs="宋体"/>
                <w:kern w:val="0"/>
                <w:sz w:val="22"/>
                <w:szCs w:val="22"/>
              </w:rPr>
            </w:pPr>
            <w:r>
              <w:rPr>
                <w:rFonts w:hint="eastAsia" w:ascii="宋体" w:hAnsi="宋体" w:eastAsia="宋体" w:cs="宋体"/>
                <w:kern w:val="0"/>
                <w:sz w:val="22"/>
                <w:szCs w:val="22"/>
              </w:rPr>
              <w:t>2台</w:t>
            </w:r>
          </w:p>
        </w:tc>
      </w:tr>
      <w:tr w14:paraId="6B73A7B0">
        <w:tblPrEx>
          <w:tblCellMar>
            <w:top w:w="0" w:type="dxa"/>
            <w:left w:w="108" w:type="dxa"/>
            <w:bottom w:w="0" w:type="dxa"/>
            <w:right w:w="108" w:type="dxa"/>
          </w:tblCellMar>
        </w:tblPrEx>
        <w:trPr>
          <w:trHeight w:val="20" w:hRule="atLeast"/>
        </w:trPr>
        <w:tc>
          <w:tcPr>
            <w:tcW w:w="350" w:type="pct"/>
            <w:tcBorders>
              <w:top w:val="nil"/>
              <w:left w:val="single" w:color="auto" w:sz="4" w:space="0"/>
              <w:bottom w:val="single" w:color="auto" w:sz="4" w:space="0"/>
              <w:right w:val="single" w:color="auto" w:sz="4" w:space="0"/>
            </w:tcBorders>
            <w:vAlign w:val="center"/>
          </w:tcPr>
          <w:p w14:paraId="2292B0FD">
            <w:pPr>
              <w:jc w:val="both"/>
              <w:rPr>
                <w:rFonts w:ascii="宋体" w:hAnsi="宋体" w:eastAsia="宋体" w:cs="宋体"/>
                <w:b/>
                <w:bCs/>
                <w:kern w:val="0"/>
                <w:sz w:val="22"/>
                <w:szCs w:val="22"/>
              </w:rPr>
            </w:pPr>
            <w:r>
              <w:rPr>
                <w:rFonts w:hint="eastAsia" w:ascii="宋体" w:hAnsi="宋体" w:eastAsia="宋体" w:cs="宋体"/>
                <w:b/>
                <w:bCs/>
                <w:kern w:val="0"/>
                <w:sz w:val="22"/>
                <w:szCs w:val="22"/>
              </w:rPr>
              <w:t>3</w:t>
            </w:r>
          </w:p>
        </w:tc>
        <w:tc>
          <w:tcPr>
            <w:tcW w:w="1100" w:type="pct"/>
            <w:tcBorders>
              <w:top w:val="nil"/>
              <w:left w:val="nil"/>
              <w:bottom w:val="single" w:color="auto" w:sz="4" w:space="0"/>
              <w:right w:val="single" w:color="auto" w:sz="4" w:space="0"/>
            </w:tcBorders>
            <w:vAlign w:val="center"/>
          </w:tcPr>
          <w:p w14:paraId="709CB0C0">
            <w:pPr>
              <w:jc w:val="both"/>
              <w:rPr>
                <w:rFonts w:ascii="宋体" w:hAnsi="宋体" w:eastAsia="宋体" w:cs="宋体"/>
                <w:b/>
                <w:bCs/>
                <w:kern w:val="0"/>
                <w:sz w:val="22"/>
                <w:szCs w:val="22"/>
              </w:rPr>
            </w:pPr>
            <w:r>
              <w:rPr>
                <w:rFonts w:hint="eastAsia" w:ascii="宋体" w:hAnsi="宋体" w:eastAsia="宋体" w:cs="宋体"/>
                <w:b/>
                <w:bCs/>
                <w:kern w:val="0"/>
                <w:sz w:val="22"/>
                <w:szCs w:val="22"/>
              </w:rPr>
              <w:t>国产化光纤交换机扩容</w:t>
            </w:r>
          </w:p>
        </w:tc>
        <w:tc>
          <w:tcPr>
            <w:tcW w:w="2819" w:type="pct"/>
            <w:tcBorders>
              <w:top w:val="nil"/>
              <w:left w:val="nil"/>
              <w:bottom w:val="single" w:color="auto" w:sz="4" w:space="0"/>
              <w:right w:val="single" w:color="auto" w:sz="4" w:space="0"/>
            </w:tcBorders>
            <w:vAlign w:val="center"/>
          </w:tcPr>
          <w:p w14:paraId="4635A398">
            <w:pPr>
              <w:jc w:val="both"/>
              <w:rPr>
                <w:rFonts w:ascii="宋体" w:hAnsi="宋体" w:eastAsia="宋体" w:cs="宋体"/>
                <w:kern w:val="0"/>
                <w:sz w:val="22"/>
                <w:szCs w:val="22"/>
              </w:rPr>
            </w:pPr>
            <w:r>
              <w:rPr>
                <w:rFonts w:hint="eastAsia" w:ascii="宋体" w:hAnsi="宋体" w:eastAsia="宋体" w:cs="宋体"/>
                <w:kern w:val="0"/>
                <w:sz w:val="22"/>
                <w:szCs w:val="22"/>
              </w:rPr>
              <w:t>1、对现网存储光纤交换机SNS 3664进行端口扩容；</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2、扩容≥24个32Gb激活端口授权，提供≥24个32Gb多模SFP光模块；</w:t>
            </w:r>
          </w:p>
        </w:tc>
        <w:tc>
          <w:tcPr>
            <w:tcW w:w="731" w:type="pct"/>
            <w:tcBorders>
              <w:top w:val="nil"/>
              <w:left w:val="nil"/>
              <w:bottom w:val="single" w:color="auto" w:sz="4" w:space="0"/>
              <w:right w:val="single" w:color="auto" w:sz="4" w:space="0"/>
            </w:tcBorders>
            <w:vAlign w:val="center"/>
          </w:tcPr>
          <w:p w14:paraId="18FE363E">
            <w:pPr>
              <w:jc w:val="both"/>
              <w:rPr>
                <w:rFonts w:ascii="宋体" w:hAnsi="宋体" w:eastAsia="宋体" w:cs="宋体"/>
                <w:kern w:val="0"/>
                <w:sz w:val="22"/>
                <w:szCs w:val="22"/>
              </w:rPr>
            </w:pPr>
            <w:r>
              <w:rPr>
                <w:rFonts w:hint="eastAsia" w:ascii="宋体" w:hAnsi="宋体" w:eastAsia="宋体" w:cs="宋体"/>
                <w:kern w:val="0"/>
                <w:sz w:val="22"/>
                <w:szCs w:val="22"/>
              </w:rPr>
              <w:t>2台</w:t>
            </w:r>
          </w:p>
        </w:tc>
      </w:tr>
      <w:tr w14:paraId="25825C58">
        <w:tblPrEx>
          <w:tblCellMar>
            <w:top w:w="0" w:type="dxa"/>
            <w:left w:w="108" w:type="dxa"/>
            <w:bottom w:w="0" w:type="dxa"/>
            <w:right w:w="108" w:type="dxa"/>
          </w:tblCellMar>
        </w:tblPrEx>
        <w:trPr>
          <w:trHeight w:val="20" w:hRule="atLeast"/>
        </w:trPr>
        <w:tc>
          <w:tcPr>
            <w:tcW w:w="350" w:type="pct"/>
            <w:tcBorders>
              <w:top w:val="nil"/>
              <w:left w:val="single" w:color="auto" w:sz="4" w:space="0"/>
              <w:bottom w:val="single" w:color="auto" w:sz="4" w:space="0"/>
              <w:right w:val="single" w:color="auto" w:sz="4" w:space="0"/>
            </w:tcBorders>
            <w:vAlign w:val="center"/>
          </w:tcPr>
          <w:p w14:paraId="4EF4E97F">
            <w:pPr>
              <w:jc w:val="both"/>
              <w:rPr>
                <w:rFonts w:ascii="宋体" w:hAnsi="宋体" w:eastAsia="宋体" w:cs="宋体"/>
                <w:b/>
                <w:bCs/>
                <w:kern w:val="0"/>
                <w:sz w:val="22"/>
                <w:szCs w:val="22"/>
              </w:rPr>
            </w:pPr>
            <w:r>
              <w:rPr>
                <w:rFonts w:hint="eastAsia" w:ascii="宋体" w:hAnsi="宋体" w:eastAsia="宋体" w:cs="宋体"/>
                <w:b/>
                <w:bCs/>
                <w:kern w:val="0"/>
                <w:sz w:val="22"/>
                <w:szCs w:val="22"/>
              </w:rPr>
              <w:t>4</w:t>
            </w:r>
          </w:p>
        </w:tc>
        <w:tc>
          <w:tcPr>
            <w:tcW w:w="1100" w:type="pct"/>
            <w:tcBorders>
              <w:top w:val="nil"/>
              <w:left w:val="nil"/>
              <w:bottom w:val="single" w:color="auto" w:sz="4" w:space="0"/>
              <w:right w:val="single" w:color="auto" w:sz="4" w:space="0"/>
            </w:tcBorders>
            <w:vAlign w:val="center"/>
          </w:tcPr>
          <w:p w14:paraId="24AE8FD2">
            <w:pPr>
              <w:jc w:val="both"/>
              <w:rPr>
                <w:rFonts w:ascii="宋体" w:hAnsi="宋体" w:eastAsia="宋体" w:cs="宋体"/>
                <w:b/>
                <w:bCs/>
                <w:kern w:val="0"/>
                <w:sz w:val="22"/>
                <w:szCs w:val="22"/>
              </w:rPr>
            </w:pPr>
            <w:r>
              <w:rPr>
                <w:rFonts w:hint="eastAsia" w:ascii="宋体" w:hAnsi="宋体" w:eastAsia="宋体" w:cs="宋体"/>
                <w:b/>
                <w:bCs/>
                <w:kern w:val="0"/>
                <w:sz w:val="22"/>
                <w:szCs w:val="22"/>
              </w:rPr>
              <w:t>国产磁盘阵列</w:t>
            </w:r>
          </w:p>
        </w:tc>
        <w:tc>
          <w:tcPr>
            <w:tcW w:w="2819" w:type="pct"/>
            <w:tcBorders>
              <w:top w:val="nil"/>
              <w:left w:val="nil"/>
              <w:bottom w:val="single" w:color="auto" w:sz="4" w:space="0"/>
              <w:right w:val="single" w:color="auto" w:sz="4" w:space="0"/>
            </w:tcBorders>
            <w:vAlign w:val="center"/>
          </w:tcPr>
          <w:p w14:paraId="51ACD9E5">
            <w:pPr>
              <w:jc w:val="both"/>
              <w:rPr>
                <w:rFonts w:ascii="宋体" w:hAnsi="宋体" w:eastAsia="宋体" w:cs="宋体"/>
                <w:kern w:val="0"/>
                <w:sz w:val="22"/>
                <w:szCs w:val="22"/>
              </w:rPr>
            </w:pPr>
            <w:r>
              <w:rPr>
                <w:rFonts w:hint="eastAsia" w:ascii="宋体" w:hAnsi="宋体" w:eastAsia="宋体" w:cs="宋体"/>
                <w:kern w:val="0"/>
                <w:sz w:val="22"/>
                <w:szCs w:val="22"/>
              </w:rPr>
              <w:t>1、全闪存架构存储，可支持FC，iSCSI，NFS，CIFS，S3协议；</w:t>
            </w:r>
          </w:p>
          <w:p w14:paraId="57D0273B">
            <w:pPr>
              <w:jc w:val="both"/>
              <w:rPr>
                <w:rFonts w:ascii="宋体" w:hAnsi="宋体" w:eastAsia="宋体" w:cs="宋体"/>
                <w:kern w:val="0"/>
                <w:sz w:val="22"/>
                <w:szCs w:val="22"/>
              </w:rPr>
            </w:pPr>
            <w:r>
              <w:rPr>
                <w:rFonts w:hint="eastAsia" w:ascii="宋体" w:hAnsi="宋体" w:eastAsia="宋体" w:cs="宋体"/>
                <w:kern w:val="0"/>
                <w:sz w:val="22"/>
                <w:szCs w:val="22"/>
              </w:rPr>
              <w:t>2、本次共配置≥2个控制器，存储系统共配置≥1TB缓存；</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3、控制器采用Active- Active架构，LUN无归属；</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4、存储控制器采用国产ARM架构CPU，存储系统总核心数为≥192个物理核，CPU主频为≥2.6GHz；</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5、存储系统配置≥4张接口卡；共计提供≥8个32Gb FC端口（含多模光模块）、≥8个10Gb ETH端口（含多模光模块）；</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6、存储系统支持Raid6；</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7、本次配置NVME SSD硬盘，≥20TB可用容量；</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8、配置图形化的存储管理界面；配置精简配置、快照、远程复制、克隆、双活、重删压缩功能；</w:t>
            </w:r>
            <w:r>
              <w:rPr>
                <w:rFonts w:hint="eastAsia" w:ascii="宋体" w:hAnsi="宋体" w:eastAsia="宋体" w:cs="宋体"/>
                <w:kern w:val="0"/>
                <w:sz w:val="22"/>
                <w:szCs w:val="22"/>
              </w:rPr>
              <w:br w:type="textWrapping"/>
            </w:r>
            <w:r>
              <w:rPr>
                <w:rFonts w:hint="eastAsia" w:ascii="宋体" w:hAnsi="宋体" w:eastAsia="宋体" w:cs="宋体"/>
                <w:kern w:val="0"/>
                <w:sz w:val="22"/>
                <w:szCs w:val="22"/>
              </w:rPr>
              <w:t>9、提供5年原厂维保服务。</w:t>
            </w:r>
          </w:p>
        </w:tc>
        <w:tc>
          <w:tcPr>
            <w:tcW w:w="731" w:type="pct"/>
            <w:tcBorders>
              <w:top w:val="nil"/>
              <w:left w:val="nil"/>
              <w:bottom w:val="single" w:color="auto" w:sz="4" w:space="0"/>
              <w:right w:val="single" w:color="auto" w:sz="4" w:space="0"/>
            </w:tcBorders>
            <w:vAlign w:val="center"/>
          </w:tcPr>
          <w:p w14:paraId="64442668">
            <w:pPr>
              <w:jc w:val="both"/>
              <w:rPr>
                <w:rFonts w:ascii="宋体" w:hAnsi="宋体" w:eastAsia="宋体" w:cs="宋体"/>
                <w:kern w:val="0"/>
                <w:sz w:val="22"/>
                <w:szCs w:val="22"/>
              </w:rPr>
            </w:pPr>
            <w:r>
              <w:rPr>
                <w:rFonts w:hint="eastAsia" w:ascii="宋体" w:hAnsi="宋体" w:eastAsia="宋体" w:cs="宋体"/>
                <w:kern w:val="0"/>
                <w:sz w:val="22"/>
                <w:szCs w:val="22"/>
              </w:rPr>
              <w:t>2台</w:t>
            </w:r>
          </w:p>
        </w:tc>
      </w:tr>
    </w:tbl>
    <w:p w14:paraId="37185F01">
      <w:pPr>
        <w:numPr>
          <w:ilvl w:val="0"/>
          <w:numId w:val="0"/>
        </w:numPr>
        <w:spacing w:line="360" w:lineRule="auto"/>
        <w:rPr>
          <w:rFonts w:hint="eastAsia"/>
          <w:b/>
          <w:bCs/>
          <w:sz w:val="28"/>
          <w:szCs w:val="28"/>
          <w:lang w:val="en-US" w:eastAsia="zh-CN"/>
        </w:rPr>
      </w:pPr>
      <w:r>
        <w:rPr>
          <w:rFonts w:hint="eastAsia"/>
          <w:b/>
          <w:bCs/>
          <w:sz w:val="28"/>
          <w:szCs w:val="28"/>
          <w:lang w:val="en-US" w:eastAsia="zh-CN"/>
        </w:rPr>
        <w:t>项目1 高配版</w:t>
      </w:r>
    </w:p>
    <w:tbl>
      <w:tblPr>
        <w:tblStyle w:val="16"/>
        <w:tblW w:w="5000" w:type="pct"/>
        <w:tblInd w:w="0" w:type="dxa"/>
        <w:tblLayout w:type="autofit"/>
        <w:tblCellMar>
          <w:top w:w="0" w:type="dxa"/>
          <w:left w:w="108" w:type="dxa"/>
          <w:bottom w:w="0" w:type="dxa"/>
          <w:right w:w="108" w:type="dxa"/>
        </w:tblCellMar>
      </w:tblPr>
      <w:tblGrid>
        <w:gridCol w:w="596"/>
        <w:gridCol w:w="1875"/>
        <w:gridCol w:w="4805"/>
        <w:gridCol w:w="1246"/>
      </w:tblGrid>
      <w:tr w14:paraId="0AD4333A">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vAlign w:val="center"/>
          </w:tcPr>
          <w:p w14:paraId="2B910A04">
            <w:pPr>
              <w:jc w:val="center"/>
              <w:rPr>
                <w:rFonts w:ascii="宋体" w:hAnsi="宋体" w:eastAsia="宋体" w:cs="宋体"/>
                <w:b/>
                <w:bCs/>
                <w:kern w:val="0"/>
                <w:sz w:val="22"/>
                <w:szCs w:val="22"/>
              </w:rPr>
            </w:pPr>
            <w:r>
              <w:rPr>
                <w:rFonts w:hint="eastAsia" w:ascii="宋体" w:hAnsi="宋体" w:eastAsia="宋体" w:cs="宋体"/>
                <w:b/>
                <w:bCs/>
                <w:kern w:val="0"/>
                <w:sz w:val="22"/>
                <w:szCs w:val="22"/>
              </w:rPr>
              <w:t>序号</w:t>
            </w:r>
          </w:p>
        </w:tc>
        <w:tc>
          <w:tcPr>
            <w:tcW w:w="1100" w:type="pct"/>
            <w:tcBorders>
              <w:top w:val="single" w:color="auto" w:sz="4" w:space="0"/>
              <w:left w:val="nil"/>
              <w:bottom w:val="single" w:color="auto" w:sz="4" w:space="0"/>
              <w:right w:val="single" w:color="auto" w:sz="4" w:space="0"/>
            </w:tcBorders>
            <w:vAlign w:val="center"/>
          </w:tcPr>
          <w:p w14:paraId="1E595219">
            <w:pPr>
              <w:jc w:val="center"/>
              <w:rPr>
                <w:rFonts w:ascii="宋体" w:hAnsi="宋体" w:eastAsia="宋体" w:cs="宋体"/>
                <w:b/>
                <w:bCs/>
                <w:kern w:val="0"/>
                <w:sz w:val="22"/>
                <w:szCs w:val="22"/>
              </w:rPr>
            </w:pPr>
            <w:r>
              <w:rPr>
                <w:rFonts w:hint="eastAsia" w:ascii="宋体" w:hAnsi="宋体" w:eastAsia="宋体" w:cs="宋体"/>
                <w:b/>
                <w:bCs/>
                <w:kern w:val="0"/>
                <w:sz w:val="22"/>
                <w:szCs w:val="22"/>
              </w:rPr>
              <w:t>设备名称</w:t>
            </w:r>
          </w:p>
        </w:tc>
        <w:tc>
          <w:tcPr>
            <w:tcW w:w="2819" w:type="pct"/>
            <w:tcBorders>
              <w:top w:val="single" w:color="auto" w:sz="4" w:space="0"/>
              <w:left w:val="nil"/>
              <w:bottom w:val="single" w:color="auto" w:sz="4" w:space="0"/>
              <w:right w:val="single" w:color="auto" w:sz="4" w:space="0"/>
            </w:tcBorders>
            <w:vAlign w:val="center"/>
          </w:tcPr>
          <w:p w14:paraId="62A5E47C">
            <w:pPr>
              <w:jc w:val="center"/>
              <w:rPr>
                <w:rFonts w:ascii="宋体" w:hAnsi="宋体" w:eastAsia="宋体" w:cs="宋体"/>
                <w:b/>
                <w:bCs/>
                <w:kern w:val="0"/>
                <w:sz w:val="22"/>
                <w:szCs w:val="22"/>
              </w:rPr>
            </w:pPr>
            <w:r>
              <w:rPr>
                <w:rFonts w:hint="eastAsia" w:ascii="宋体" w:hAnsi="宋体" w:eastAsia="宋体" w:cs="宋体"/>
                <w:b/>
                <w:bCs/>
                <w:kern w:val="0"/>
                <w:sz w:val="22"/>
                <w:szCs w:val="22"/>
              </w:rPr>
              <w:t>配置要求</w:t>
            </w:r>
          </w:p>
        </w:tc>
        <w:tc>
          <w:tcPr>
            <w:tcW w:w="731" w:type="pct"/>
            <w:tcBorders>
              <w:top w:val="single" w:color="auto" w:sz="4" w:space="0"/>
              <w:left w:val="nil"/>
              <w:bottom w:val="single" w:color="auto" w:sz="4" w:space="0"/>
              <w:right w:val="single" w:color="auto" w:sz="4" w:space="0"/>
            </w:tcBorders>
            <w:vAlign w:val="center"/>
          </w:tcPr>
          <w:p w14:paraId="1C21EF6C">
            <w:pPr>
              <w:jc w:val="center"/>
              <w:rPr>
                <w:rFonts w:ascii="宋体" w:hAnsi="宋体" w:eastAsia="宋体" w:cs="宋体"/>
                <w:b/>
                <w:bCs/>
                <w:kern w:val="0"/>
                <w:sz w:val="22"/>
                <w:szCs w:val="22"/>
              </w:rPr>
            </w:pPr>
            <w:r>
              <w:rPr>
                <w:rFonts w:hint="eastAsia" w:ascii="宋体" w:hAnsi="宋体" w:eastAsia="宋体" w:cs="宋体"/>
                <w:b/>
                <w:bCs/>
                <w:kern w:val="0"/>
                <w:sz w:val="22"/>
                <w:szCs w:val="22"/>
              </w:rPr>
              <w:t>数量</w:t>
            </w:r>
          </w:p>
        </w:tc>
      </w:tr>
      <w:tr w14:paraId="5C1FD92A">
        <w:tblPrEx>
          <w:tblCellMar>
            <w:top w:w="0" w:type="dxa"/>
            <w:left w:w="108" w:type="dxa"/>
            <w:bottom w:w="0" w:type="dxa"/>
            <w:right w:w="108" w:type="dxa"/>
          </w:tblCellMar>
        </w:tblPrEx>
        <w:trPr>
          <w:trHeight w:val="20" w:hRule="atLeast"/>
        </w:trPr>
        <w:tc>
          <w:tcPr>
            <w:tcW w:w="350" w:type="pct"/>
            <w:tcBorders>
              <w:top w:val="nil"/>
              <w:left w:val="single" w:color="auto" w:sz="4" w:space="0"/>
              <w:bottom w:val="single" w:color="auto" w:sz="4" w:space="0"/>
              <w:right w:val="single" w:color="auto" w:sz="4" w:space="0"/>
            </w:tcBorders>
            <w:vAlign w:val="center"/>
          </w:tcPr>
          <w:p w14:paraId="12C39AB1">
            <w:pPr>
              <w:jc w:val="both"/>
              <w:rPr>
                <w:rFonts w:ascii="宋体" w:hAnsi="宋体" w:eastAsia="宋体" w:cs="宋体"/>
                <w:b/>
                <w:bCs/>
                <w:kern w:val="0"/>
                <w:sz w:val="22"/>
                <w:szCs w:val="22"/>
              </w:rPr>
            </w:pPr>
            <w:r>
              <w:rPr>
                <w:rFonts w:hint="eastAsia" w:ascii="宋体" w:hAnsi="宋体" w:eastAsia="宋体" w:cs="宋体"/>
                <w:b/>
                <w:bCs/>
                <w:kern w:val="0"/>
                <w:sz w:val="22"/>
                <w:szCs w:val="22"/>
              </w:rPr>
              <w:t>1</w:t>
            </w:r>
          </w:p>
        </w:tc>
        <w:tc>
          <w:tcPr>
            <w:tcW w:w="1100" w:type="pct"/>
            <w:tcBorders>
              <w:top w:val="nil"/>
              <w:left w:val="nil"/>
              <w:bottom w:val="single" w:color="auto" w:sz="4" w:space="0"/>
              <w:right w:val="single" w:color="auto" w:sz="4" w:space="0"/>
            </w:tcBorders>
            <w:vAlign w:val="center"/>
          </w:tcPr>
          <w:p w14:paraId="4B03C905">
            <w:pPr>
              <w:jc w:val="both"/>
              <w:rPr>
                <w:rFonts w:ascii="宋体" w:hAnsi="宋体" w:eastAsia="宋体" w:cs="宋体"/>
                <w:b/>
                <w:bCs/>
                <w:kern w:val="0"/>
                <w:sz w:val="22"/>
                <w:szCs w:val="22"/>
              </w:rPr>
            </w:pPr>
            <w:r>
              <w:rPr>
                <w:rFonts w:hint="eastAsia" w:ascii="宋体" w:hAnsi="宋体" w:eastAsia="宋体" w:cs="宋体"/>
                <w:b/>
                <w:bCs/>
                <w:kern w:val="0"/>
                <w:sz w:val="22"/>
                <w:szCs w:val="22"/>
              </w:rPr>
              <w:t>国产化交换机</w:t>
            </w:r>
          </w:p>
        </w:tc>
        <w:tc>
          <w:tcPr>
            <w:tcW w:w="2819" w:type="pct"/>
            <w:tcBorders>
              <w:top w:val="nil"/>
              <w:left w:val="nil"/>
              <w:bottom w:val="single" w:color="auto" w:sz="4" w:space="0"/>
              <w:right w:val="single" w:color="auto" w:sz="4" w:space="0"/>
            </w:tcBorders>
            <w:vAlign w:val="center"/>
          </w:tcPr>
          <w:p w14:paraId="0393A14C">
            <w:pPr>
              <w:jc w:val="both"/>
              <w:rPr>
                <w:rFonts w:ascii="宋体" w:hAnsi="宋体" w:eastAsia="宋体" w:cs="宋体"/>
                <w:kern w:val="0"/>
                <w:sz w:val="22"/>
                <w:szCs w:val="22"/>
              </w:rPr>
            </w:pPr>
            <w:r>
              <w:rPr>
                <w:rFonts w:hint="eastAsia" w:ascii="宋体" w:hAnsi="宋体" w:eastAsia="宋体" w:cs="宋体"/>
                <w:kern w:val="0"/>
                <w:sz w:val="22"/>
                <w:szCs w:val="22"/>
              </w:rPr>
              <w:t>1、交换容量≥4.8Tbps，包转发率≥2000Mpps；</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2、整机支持≥48个万兆光口，≥6个40G光口；配置≥4个可插拔风扇模块，交流双电源；</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3、支持静态路由、RIP V1/2、OSPF、IS-IS、BGP、RIPng、OSPFv3、BGP4+、ISISv6；</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4、设备CPU和转发芯片为国产芯片；</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5、支持防ARP攻击、DOS攻击、ICMP防攻击、CPU防攻击；</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6、支持SNMP v1/v2/v3、Telnet、RMON、SSHv2；</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7、配置≥48个10G多模光模块，≥2个40G多模光模块；</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8、提供5年原厂维保服务；</w:t>
            </w:r>
          </w:p>
        </w:tc>
        <w:tc>
          <w:tcPr>
            <w:tcW w:w="731" w:type="pct"/>
            <w:tcBorders>
              <w:top w:val="nil"/>
              <w:left w:val="nil"/>
              <w:bottom w:val="single" w:color="auto" w:sz="4" w:space="0"/>
              <w:right w:val="single" w:color="auto" w:sz="4" w:space="0"/>
            </w:tcBorders>
            <w:vAlign w:val="center"/>
          </w:tcPr>
          <w:p w14:paraId="2236C80D">
            <w:pPr>
              <w:jc w:val="both"/>
              <w:rPr>
                <w:rFonts w:ascii="宋体" w:hAnsi="宋体" w:eastAsia="宋体" w:cs="宋体"/>
                <w:kern w:val="0"/>
                <w:sz w:val="22"/>
                <w:szCs w:val="22"/>
              </w:rPr>
            </w:pPr>
            <w:r>
              <w:rPr>
                <w:rFonts w:hint="eastAsia" w:ascii="宋体" w:hAnsi="宋体" w:eastAsia="宋体" w:cs="宋体"/>
                <w:kern w:val="0"/>
                <w:sz w:val="22"/>
                <w:szCs w:val="22"/>
              </w:rPr>
              <w:t>4台</w:t>
            </w:r>
          </w:p>
        </w:tc>
      </w:tr>
      <w:tr w14:paraId="779841CD">
        <w:tblPrEx>
          <w:tblCellMar>
            <w:top w:w="0" w:type="dxa"/>
            <w:left w:w="108" w:type="dxa"/>
            <w:bottom w:w="0" w:type="dxa"/>
            <w:right w:w="108" w:type="dxa"/>
          </w:tblCellMar>
        </w:tblPrEx>
        <w:trPr>
          <w:trHeight w:val="20" w:hRule="atLeast"/>
        </w:trPr>
        <w:tc>
          <w:tcPr>
            <w:tcW w:w="350" w:type="pct"/>
            <w:tcBorders>
              <w:top w:val="nil"/>
              <w:left w:val="single" w:color="auto" w:sz="4" w:space="0"/>
              <w:bottom w:val="single" w:color="auto" w:sz="4" w:space="0"/>
              <w:right w:val="single" w:color="auto" w:sz="4" w:space="0"/>
            </w:tcBorders>
            <w:vAlign w:val="center"/>
          </w:tcPr>
          <w:p w14:paraId="1F7388DB">
            <w:pPr>
              <w:jc w:val="both"/>
              <w:rPr>
                <w:rFonts w:ascii="宋体" w:hAnsi="宋体" w:eastAsia="宋体" w:cs="宋体"/>
                <w:b/>
                <w:bCs/>
                <w:kern w:val="0"/>
                <w:sz w:val="22"/>
                <w:szCs w:val="22"/>
              </w:rPr>
            </w:pPr>
            <w:r>
              <w:rPr>
                <w:rFonts w:hint="eastAsia" w:ascii="宋体" w:hAnsi="宋体" w:eastAsia="宋体" w:cs="宋体"/>
                <w:b/>
                <w:bCs/>
                <w:kern w:val="0"/>
                <w:sz w:val="22"/>
                <w:szCs w:val="22"/>
              </w:rPr>
              <w:t>2</w:t>
            </w:r>
          </w:p>
        </w:tc>
        <w:tc>
          <w:tcPr>
            <w:tcW w:w="1100" w:type="pct"/>
            <w:tcBorders>
              <w:top w:val="nil"/>
              <w:left w:val="nil"/>
              <w:bottom w:val="single" w:color="auto" w:sz="4" w:space="0"/>
              <w:right w:val="single" w:color="auto" w:sz="4" w:space="0"/>
            </w:tcBorders>
            <w:vAlign w:val="center"/>
          </w:tcPr>
          <w:p w14:paraId="4DB8942B">
            <w:pPr>
              <w:jc w:val="both"/>
              <w:rPr>
                <w:rFonts w:ascii="宋体" w:hAnsi="宋体" w:eastAsia="宋体" w:cs="宋体"/>
                <w:b/>
                <w:bCs/>
                <w:kern w:val="0"/>
                <w:sz w:val="22"/>
                <w:szCs w:val="22"/>
              </w:rPr>
            </w:pPr>
            <w:r>
              <w:rPr>
                <w:rFonts w:hint="eastAsia" w:ascii="宋体" w:hAnsi="宋体" w:eastAsia="宋体" w:cs="宋体"/>
                <w:b/>
                <w:bCs/>
                <w:kern w:val="0"/>
                <w:sz w:val="22"/>
                <w:szCs w:val="22"/>
              </w:rPr>
              <w:t>国产化光纤交换机</w:t>
            </w:r>
          </w:p>
        </w:tc>
        <w:tc>
          <w:tcPr>
            <w:tcW w:w="2819" w:type="pct"/>
            <w:tcBorders>
              <w:top w:val="nil"/>
              <w:left w:val="nil"/>
              <w:bottom w:val="single" w:color="auto" w:sz="4" w:space="0"/>
              <w:right w:val="single" w:color="auto" w:sz="4" w:space="0"/>
            </w:tcBorders>
            <w:vAlign w:val="center"/>
          </w:tcPr>
          <w:p w14:paraId="528249F0">
            <w:pPr>
              <w:jc w:val="both"/>
              <w:rPr>
                <w:rFonts w:ascii="宋体" w:hAnsi="宋体" w:eastAsia="宋体" w:cs="宋体"/>
                <w:kern w:val="0"/>
                <w:sz w:val="22"/>
                <w:szCs w:val="22"/>
              </w:rPr>
            </w:pPr>
            <w:r>
              <w:rPr>
                <w:rFonts w:hint="eastAsia" w:ascii="宋体" w:hAnsi="宋体" w:eastAsia="宋体" w:cs="宋体"/>
                <w:kern w:val="0"/>
                <w:sz w:val="22"/>
                <w:szCs w:val="22"/>
              </w:rPr>
              <w:t>1、整机能够支持≥48个64G SFP+端口；本次激活≥48个32G端口；含≥48个32Gb多模光模块；配置双电源；</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2、支持 E 端口、F 端口、M 端口、D 端口和 EX 端口；</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3、支持8、16、32和64G端口速度自适应；</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4、支持基于帧的链路捆绑，每条ISL捆绑链路最多8个SFP+端口；每条ISL捆绑链路最高512Gb/s的吞吐量；</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5、提供5年原厂维保服务；</w:t>
            </w:r>
          </w:p>
        </w:tc>
        <w:tc>
          <w:tcPr>
            <w:tcW w:w="731" w:type="pct"/>
            <w:tcBorders>
              <w:top w:val="nil"/>
              <w:left w:val="nil"/>
              <w:bottom w:val="single" w:color="auto" w:sz="4" w:space="0"/>
              <w:right w:val="single" w:color="auto" w:sz="4" w:space="0"/>
            </w:tcBorders>
            <w:vAlign w:val="center"/>
          </w:tcPr>
          <w:p w14:paraId="2DFC9622">
            <w:pPr>
              <w:jc w:val="both"/>
              <w:rPr>
                <w:rFonts w:ascii="宋体" w:hAnsi="宋体" w:eastAsia="宋体" w:cs="宋体"/>
                <w:kern w:val="0"/>
                <w:sz w:val="22"/>
                <w:szCs w:val="22"/>
              </w:rPr>
            </w:pPr>
            <w:r>
              <w:rPr>
                <w:rFonts w:hint="eastAsia" w:ascii="宋体" w:hAnsi="宋体" w:eastAsia="宋体" w:cs="宋体"/>
                <w:kern w:val="0"/>
                <w:sz w:val="22"/>
                <w:szCs w:val="22"/>
              </w:rPr>
              <w:t>2台</w:t>
            </w:r>
          </w:p>
        </w:tc>
      </w:tr>
      <w:tr w14:paraId="14DEC290">
        <w:tblPrEx>
          <w:tblCellMar>
            <w:top w:w="0" w:type="dxa"/>
            <w:left w:w="108" w:type="dxa"/>
            <w:bottom w:w="0" w:type="dxa"/>
            <w:right w:w="108" w:type="dxa"/>
          </w:tblCellMar>
        </w:tblPrEx>
        <w:trPr>
          <w:trHeight w:val="20" w:hRule="atLeast"/>
        </w:trPr>
        <w:tc>
          <w:tcPr>
            <w:tcW w:w="350" w:type="pct"/>
            <w:tcBorders>
              <w:top w:val="nil"/>
              <w:left w:val="single" w:color="auto" w:sz="4" w:space="0"/>
              <w:bottom w:val="single" w:color="auto" w:sz="4" w:space="0"/>
              <w:right w:val="single" w:color="auto" w:sz="4" w:space="0"/>
            </w:tcBorders>
            <w:vAlign w:val="center"/>
          </w:tcPr>
          <w:p w14:paraId="63BC9F0A">
            <w:pPr>
              <w:jc w:val="both"/>
              <w:rPr>
                <w:rFonts w:ascii="宋体" w:hAnsi="宋体" w:eastAsia="宋体" w:cs="宋体"/>
                <w:b/>
                <w:bCs/>
                <w:kern w:val="0"/>
                <w:sz w:val="22"/>
                <w:szCs w:val="22"/>
              </w:rPr>
            </w:pPr>
            <w:r>
              <w:rPr>
                <w:rFonts w:hint="eastAsia" w:ascii="宋体" w:hAnsi="宋体" w:eastAsia="宋体" w:cs="宋体"/>
                <w:b/>
                <w:bCs/>
                <w:kern w:val="0"/>
                <w:sz w:val="22"/>
                <w:szCs w:val="22"/>
              </w:rPr>
              <w:t>3</w:t>
            </w:r>
          </w:p>
        </w:tc>
        <w:tc>
          <w:tcPr>
            <w:tcW w:w="1100" w:type="pct"/>
            <w:tcBorders>
              <w:top w:val="nil"/>
              <w:left w:val="nil"/>
              <w:bottom w:val="single" w:color="auto" w:sz="4" w:space="0"/>
              <w:right w:val="single" w:color="auto" w:sz="4" w:space="0"/>
            </w:tcBorders>
            <w:vAlign w:val="center"/>
          </w:tcPr>
          <w:p w14:paraId="10F5ED99">
            <w:pPr>
              <w:jc w:val="both"/>
              <w:rPr>
                <w:rFonts w:ascii="宋体" w:hAnsi="宋体" w:eastAsia="宋体" w:cs="宋体"/>
                <w:b/>
                <w:bCs/>
                <w:kern w:val="0"/>
                <w:sz w:val="22"/>
                <w:szCs w:val="22"/>
              </w:rPr>
            </w:pPr>
            <w:r>
              <w:rPr>
                <w:rFonts w:hint="eastAsia" w:ascii="宋体" w:hAnsi="宋体" w:eastAsia="宋体" w:cs="宋体"/>
                <w:b/>
                <w:bCs/>
                <w:kern w:val="0"/>
                <w:sz w:val="22"/>
                <w:szCs w:val="22"/>
              </w:rPr>
              <w:t>国产化光纤交换机扩容</w:t>
            </w:r>
          </w:p>
        </w:tc>
        <w:tc>
          <w:tcPr>
            <w:tcW w:w="2819" w:type="pct"/>
            <w:tcBorders>
              <w:top w:val="nil"/>
              <w:left w:val="nil"/>
              <w:bottom w:val="single" w:color="auto" w:sz="4" w:space="0"/>
              <w:right w:val="single" w:color="auto" w:sz="4" w:space="0"/>
            </w:tcBorders>
            <w:vAlign w:val="center"/>
          </w:tcPr>
          <w:p w14:paraId="19522895">
            <w:pPr>
              <w:jc w:val="both"/>
              <w:rPr>
                <w:rFonts w:ascii="宋体" w:hAnsi="宋体" w:eastAsia="宋体" w:cs="宋体"/>
                <w:kern w:val="0"/>
                <w:sz w:val="22"/>
                <w:szCs w:val="22"/>
              </w:rPr>
            </w:pPr>
            <w:r>
              <w:rPr>
                <w:rFonts w:hint="eastAsia" w:ascii="宋体" w:hAnsi="宋体" w:eastAsia="宋体" w:cs="宋体"/>
                <w:kern w:val="0"/>
                <w:sz w:val="22"/>
                <w:szCs w:val="22"/>
              </w:rPr>
              <w:t>1、对现网存储光纤交换机SNS 3664进行端口扩容；</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2、扩容≥24个32Gb激活端口授权，提供≥24个32Gb多模SFP光模块；</w:t>
            </w:r>
          </w:p>
        </w:tc>
        <w:tc>
          <w:tcPr>
            <w:tcW w:w="731" w:type="pct"/>
            <w:tcBorders>
              <w:top w:val="nil"/>
              <w:left w:val="nil"/>
              <w:bottom w:val="single" w:color="auto" w:sz="4" w:space="0"/>
              <w:right w:val="single" w:color="auto" w:sz="4" w:space="0"/>
            </w:tcBorders>
            <w:vAlign w:val="center"/>
          </w:tcPr>
          <w:p w14:paraId="526135C9">
            <w:pPr>
              <w:jc w:val="both"/>
              <w:rPr>
                <w:rFonts w:ascii="宋体" w:hAnsi="宋体" w:eastAsia="宋体" w:cs="宋体"/>
                <w:kern w:val="0"/>
                <w:sz w:val="22"/>
                <w:szCs w:val="22"/>
              </w:rPr>
            </w:pPr>
            <w:r>
              <w:rPr>
                <w:rFonts w:hint="eastAsia" w:ascii="宋体" w:hAnsi="宋体" w:eastAsia="宋体" w:cs="宋体"/>
                <w:kern w:val="0"/>
                <w:sz w:val="22"/>
                <w:szCs w:val="22"/>
              </w:rPr>
              <w:t>2台</w:t>
            </w:r>
          </w:p>
        </w:tc>
      </w:tr>
      <w:tr w14:paraId="732AF201">
        <w:tblPrEx>
          <w:tblCellMar>
            <w:top w:w="0" w:type="dxa"/>
            <w:left w:w="108" w:type="dxa"/>
            <w:bottom w:w="0" w:type="dxa"/>
            <w:right w:w="108" w:type="dxa"/>
          </w:tblCellMar>
        </w:tblPrEx>
        <w:trPr>
          <w:trHeight w:val="20" w:hRule="atLeast"/>
        </w:trPr>
        <w:tc>
          <w:tcPr>
            <w:tcW w:w="350" w:type="pct"/>
            <w:tcBorders>
              <w:top w:val="nil"/>
              <w:left w:val="single" w:color="auto" w:sz="4" w:space="0"/>
              <w:bottom w:val="single" w:color="auto" w:sz="4" w:space="0"/>
              <w:right w:val="single" w:color="auto" w:sz="4" w:space="0"/>
            </w:tcBorders>
            <w:vAlign w:val="center"/>
          </w:tcPr>
          <w:p w14:paraId="244CD9A8">
            <w:pPr>
              <w:jc w:val="both"/>
              <w:rPr>
                <w:rFonts w:ascii="宋体" w:hAnsi="宋体" w:eastAsia="宋体" w:cs="宋体"/>
                <w:b/>
                <w:bCs/>
                <w:kern w:val="0"/>
                <w:sz w:val="22"/>
                <w:szCs w:val="22"/>
              </w:rPr>
            </w:pPr>
            <w:r>
              <w:rPr>
                <w:rFonts w:hint="eastAsia" w:ascii="宋体" w:hAnsi="宋体" w:eastAsia="宋体" w:cs="宋体"/>
                <w:b/>
                <w:bCs/>
                <w:kern w:val="0"/>
                <w:sz w:val="22"/>
                <w:szCs w:val="22"/>
              </w:rPr>
              <w:t>4</w:t>
            </w:r>
          </w:p>
        </w:tc>
        <w:tc>
          <w:tcPr>
            <w:tcW w:w="1100" w:type="pct"/>
            <w:tcBorders>
              <w:top w:val="nil"/>
              <w:left w:val="nil"/>
              <w:bottom w:val="single" w:color="auto" w:sz="4" w:space="0"/>
              <w:right w:val="single" w:color="auto" w:sz="4" w:space="0"/>
            </w:tcBorders>
            <w:vAlign w:val="center"/>
          </w:tcPr>
          <w:p w14:paraId="4B142C2E">
            <w:pPr>
              <w:jc w:val="both"/>
              <w:rPr>
                <w:rFonts w:ascii="宋体" w:hAnsi="宋体" w:eastAsia="宋体" w:cs="宋体"/>
                <w:b/>
                <w:bCs/>
                <w:kern w:val="0"/>
                <w:sz w:val="22"/>
                <w:szCs w:val="22"/>
              </w:rPr>
            </w:pPr>
            <w:r>
              <w:rPr>
                <w:rFonts w:hint="eastAsia" w:ascii="宋体" w:hAnsi="宋体" w:eastAsia="宋体" w:cs="宋体"/>
                <w:b/>
                <w:bCs/>
                <w:kern w:val="0"/>
                <w:sz w:val="22"/>
                <w:szCs w:val="22"/>
              </w:rPr>
              <w:t>国产磁盘阵列</w:t>
            </w:r>
          </w:p>
        </w:tc>
        <w:tc>
          <w:tcPr>
            <w:tcW w:w="2819" w:type="pct"/>
            <w:tcBorders>
              <w:top w:val="nil"/>
              <w:left w:val="nil"/>
              <w:bottom w:val="single" w:color="auto" w:sz="4" w:space="0"/>
              <w:right w:val="single" w:color="auto" w:sz="4" w:space="0"/>
            </w:tcBorders>
            <w:vAlign w:val="center"/>
          </w:tcPr>
          <w:p w14:paraId="3F3BF5FE">
            <w:pPr>
              <w:jc w:val="both"/>
              <w:rPr>
                <w:rFonts w:ascii="宋体" w:hAnsi="宋体" w:eastAsia="宋体" w:cs="宋体"/>
                <w:kern w:val="0"/>
                <w:sz w:val="22"/>
                <w:szCs w:val="22"/>
              </w:rPr>
            </w:pPr>
            <w:r>
              <w:rPr>
                <w:rFonts w:hint="eastAsia" w:ascii="宋体" w:hAnsi="宋体" w:eastAsia="宋体" w:cs="宋体"/>
                <w:kern w:val="0"/>
                <w:sz w:val="22"/>
                <w:szCs w:val="22"/>
              </w:rPr>
              <w:t>1、全闪存架构存储，可支持FC，iSCSI，NFS，CIFS，S3协议；</w:t>
            </w:r>
          </w:p>
          <w:p w14:paraId="4BD16D37">
            <w:pPr>
              <w:jc w:val="both"/>
              <w:rPr>
                <w:rFonts w:ascii="宋体" w:hAnsi="宋体" w:eastAsia="宋体" w:cs="宋体"/>
                <w:kern w:val="0"/>
                <w:sz w:val="22"/>
                <w:szCs w:val="22"/>
              </w:rPr>
            </w:pPr>
            <w:r>
              <w:rPr>
                <w:rFonts w:hint="eastAsia" w:ascii="宋体" w:hAnsi="宋体" w:eastAsia="宋体" w:cs="宋体"/>
                <w:kern w:val="0"/>
                <w:sz w:val="22"/>
                <w:szCs w:val="22"/>
              </w:rPr>
              <w:t>2、本次共配置≥2个控制器，存储系统共配置≥1TB缓存；</w:t>
            </w:r>
            <w:r>
              <w:rPr>
                <w:rFonts w:hint="eastAsia" w:ascii="宋体" w:hAnsi="宋体" w:eastAsia="宋体" w:cs="宋体"/>
                <w:kern w:val="0"/>
                <w:sz w:val="22"/>
                <w:szCs w:val="22"/>
              </w:rPr>
              <w:br w:type="textWrapping"/>
            </w:r>
            <w:r>
              <w:rPr>
                <w:rFonts w:hint="eastAsia" w:ascii="宋体" w:hAnsi="宋体" w:eastAsia="宋体" w:cs="宋体"/>
                <w:kern w:val="0"/>
                <w:sz w:val="22"/>
                <w:szCs w:val="22"/>
              </w:rPr>
              <w:t>3、控制器采用Active- Active架构，LUN无归属；</w:t>
            </w:r>
            <w:r>
              <w:rPr>
                <w:rFonts w:hint="eastAsia" w:ascii="宋体" w:hAnsi="宋体" w:eastAsia="宋体" w:cs="宋体"/>
                <w:kern w:val="0"/>
                <w:sz w:val="22"/>
                <w:szCs w:val="22"/>
              </w:rPr>
              <w:br w:type="textWrapping"/>
            </w:r>
            <w:r>
              <w:rPr>
                <w:rFonts w:hint="eastAsia" w:ascii="宋体" w:hAnsi="宋体" w:eastAsia="宋体" w:cs="宋体"/>
                <w:kern w:val="0"/>
                <w:sz w:val="22"/>
                <w:szCs w:val="22"/>
              </w:rPr>
              <w:t>4、存储控制器采用国产ARM架构CPU，存储系统总核心数为≥192个物理核，CPU主频为≥2.6GHz；</w:t>
            </w:r>
            <w:r>
              <w:rPr>
                <w:rFonts w:hint="eastAsia" w:ascii="宋体" w:hAnsi="宋体" w:eastAsia="宋体" w:cs="宋体"/>
                <w:kern w:val="0"/>
                <w:sz w:val="22"/>
                <w:szCs w:val="22"/>
              </w:rPr>
              <w:br w:type="textWrapping"/>
            </w:r>
            <w:r>
              <w:rPr>
                <w:rFonts w:hint="eastAsia" w:ascii="宋体" w:hAnsi="宋体" w:eastAsia="宋体" w:cs="宋体"/>
                <w:kern w:val="0"/>
                <w:sz w:val="22"/>
                <w:szCs w:val="22"/>
              </w:rPr>
              <w:t>5、存储系统配置≥4张接口卡；共计提供≥8个32Gb FC端口（含多模光模块）、≥8个10Gb ETH端口（含多模光模块）；</w:t>
            </w:r>
            <w:r>
              <w:rPr>
                <w:rFonts w:hint="eastAsia" w:ascii="宋体" w:hAnsi="宋体" w:eastAsia="宋体" w:cs="宋体"/>
                <w:kern w:val="0"/>
                <w:sz w:val="22"/>
                <w:szCs w:val="22"/>
              </w:rPr>
              <w:br w:type="textWrapping"/>
            </w:r>
            <w:r>
              <w:rPr>
                <w:rFonts w:hint="eastAsia" w:ascii="宋体" w:hAnsi="宋体" w:eastAsia="宋体" w:cs="宋体"/>
                <w:kern w:val="0"/>
                <w:sz w:val="22"/>
                <w:szCs w:val="22"/>
              </w:rPr>
              <w:t>6、存储系统支持Raid6；</w:t>
            </w:r>
            <w:r>
              <w:rPr>
                <w:rFonts w:hint="eastAsia" w:ascii="宋体" w:hAnsi="宋体" w:eastAsia="宋体" w:cs="宋体"/>
                <w:kern w:val="0"/>
                <w:sz w:val="22"/>
                <w:szCs w:val="22"/>
              </w:rPr>
              <w:br w:type="textWrapping"/>
            </w:r>
            <w:r>
              <w:rPr>
                <w:rFonts w:hint="eastAsia" w:ascii="宋体" w:hAnsi="宋体" w:eastAsia="宋体" w:cs="宋体"/>
                <w:kern w:val="0"/>
                <w:sz w:val="22"/>
                <w:szCs w:val="22"/>
              </w:rPr>
              <w:t>7、本次配置NVME SSD硬盘，≥</w:t>
            </w:r>
            <w:r>
              <w:rPr>
                <w:rFonts w:hint="eastAsia" w:ascii="宋体" w:hAnsi="宋体" w:eastAsia="宋体" w:cs="宋体"/>
                <w:kern w:val="0"/>
                <w:sz w:val="22"/>
                <w:szCs w:val="22"/>
                <w:lang w:val="en-US" w:eastAsia="zh-CN"/>
              </w:rPr>
              <w:t>4</w:t>
            </w:r>
            <w:r>
              <w:rPr>
                <w:rFonts w:hint="eastAsia" w:ascii="宋体" w:hAnsi="宋体" w:eastAsia="宋体" w:cs="宋体"/>
                <w:kern w:val="0"/>
                <w:sz w:val="22"/>
                <w:szCs w:val="22"/>
              </w:rPr>
              <w:t>0TB可用容量；</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8、配置图形化的存储管理界面；配置精简配置、快照、远程复制、克隆、双活、重删压缩功能；</w:t>
            </w:r>
            <w:r>
              <w:rPr>
                <w:rFonts w:hint="eastAsia" w:ascii="宋体" w:hAnsi="宋体" w:eastAsia="宋体" w:cs="宋体"/>
                <w:kern w:val="0"/>
                <w:sz w:val="22"/>
                <w:szCs w:val="22"/>
              </w:rPr>
              <w:br w:type="textWrapping"/>
            </w:r>
            <w:r>
              <w:rPr>
                <w:rFonts w:hint="eastAsia" w:ascii="宋体" w:hAnsi="宋体" w:eastAsia="宋体" w:cs="宋体"/>
                <w:kern w:val="0"/>
                <w:sz w:val="22"/>
                <w:szCs w:val="22"/>
              </w:rPr>
              <w:t>9、提供5年原厂维保服务。</w:t>
            </w:r>
          </w:p>
        </w:tc>
        <w:tc>
          <w:tcPr>
            <w:tcW w:w="731" w:type="pct"/>
            <w:tcBorders>
              <w:top w:val="nil"/>
              <w:left w:val="nil"/>
              <w:bottom w:val="single" w:color="auto" w:sz="4" w:space="0"/>
              <w:right w:val="single" w:color="auto" w:sz="4" w:space="0"/>
            </w:tcBorders>
            <w:vAlign w:val="center"/>
          </w:tcPr>
          <w:p w14:paraId="2C989363">
            <w:pPr>
              <w:jc w:val="both"/>
              <w:rPr>
                <w:rFonts w:ascii="宋体" w:hAnsi="宋体" w:eastAsia="宋体" w:cs="宋体"/>
                <w:kern w:val="0"/>
                <w:sz w:val="22"/>
                <w:szCs w:val="22"/>
              </w:rPr>
            </w:pPr>
            <w:r>
              <w:rPr>
                <w:rFonts w:hint="eastAsia" w:ascii="宋体" w:hAnsi="宋体" w:eastAsia="宋体" w:cs="宋体"/>
                <w:kern w:val="0"/>
                <w:sz w:val="22"/>
                <w:szCs w:val="22"/>
              </w:rPr>
              <w:t>2台</w:t>
            </w:r>
          </w:p>
        </w:tc>
      </w:tr>
    </w:tbl>
    <w:p w14:paraId="28F64E98">
      <w:pPr>
        <w:numPr>
          <w:ilvl w:val="0"/>
          <w:numId w:val="0"/>
        </w:numPr>
        <w:spacing w:line="360" w:lineRule="auto"/>
        <w:rPr>
          <w:rFonts w:hint="default"/>
          <w:sz w:val="28"/>
          <w:szCs w:val="28"/>
          <w:lang w:val="en-US" w:eastAsia="zh-CN"/>
        </w:rPr>
      </w:pPr>
    </w:p>
    <w:p w14:paraId="4C9DEDC2">
      <w:pPr>
        <w:numPr>
          <w:ilvl w:val="0"/>
          <w:numId w:val="0"/>
        </w:numPr>
        <w:spacing w:line="360" w:lineRule="auto"/>
        <w:rPr>
          <w:rFonts w:hint="eastAsia"/>
          <w:b/>
          <w:bCs/>
          <w:sz w:val="28"/>
          <w:szCs w:val="28"/>
        </w:rPr>
      </w:pPr>
      <w:r>
        <w:rPr>
          <w:rFonts w:hint="eastAsia"/>
          <w:b/>
          <w:bCs/>
          <w:sz w:val="28"/>
          <w:szCs w:val="28"/>
        </w:rPr>
        <w:t>项目</w:t>
      </w:r>
      <w:r>
        <w:rPr>
          <w:rFonts w:hint="eastAsia"/>
          <w:b/>
          <w:bCs/>
          <w:sz w:val="28"/>
          <w:szCs w:val="28"/>
          <w:lang w:val="en-US" w:eastAsia="zh-CN"/>
        </w:rPr>
        <w:t>2</w:t>
      </w:r>
      <w:r>
        <w:rPr>
          <w:rFonts w:hint="eastAsia"/>
          <w:b/>
          <w:bCs/>
          <w:sz w:val="28"/>
          <w:szCs w:val="28"/>
        </w:rPr>
        <w:t xml:space="preserve"> 低配版</w:t>
      </w:r>
    </w:p>
    <w:tbl>
      <w:tblPr>
        <w:tblStyle w:val="16"/>
        <w:tblW w:w="5000" w:type="pct"/>
        <w:tblInd w:w="0" w:type="dxa"/>
        <w:tblLayout w:type="autofit"/>
        <w:tblCellMar>
          <w:top w:w="0" w:type="dxa"/>
          <w:left w:w="108" w:type="dxa"/>
          <w:bottom w:w="0" w:type="dxa"/>
          <w:right w:w="108" w:type="dxa"/>
        </w:tblCellMar>
      </w:tblPr>
      <w:tblGrid>
        <w:gridCol w:w="596"/>
        <w:gridCol w:w="1875"/>
        <w:gridCol w:w="4805"/>
        <w:gridCol w:w="1246"/>
      </w:tblGrid>
      <w:tr w14:paraId="63C54915">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vAlign w:val="center"/>
          </w:tcPr>
          <w:p w14:paraId="4AF37297">
            <w:pPr>
              <w:jc w:val="center"/>
              <w:rPr>
                <w:rFonts w:ascii="宋体" w:hAnsi="宋体" w:eastAsia="宋体" w:cs="宋体"/>
                <w:b/>
                <w:bCs/>
                <w:sz w:val="22"/>
                <w:szCs w:val="22"/>
              </w:rPr>
            </w:pPr>
            <w:r>
              <w:rPr>
                <w:rFonts w:hint="eastAsia" w:ascii="宋体" w:hAnsi="宋体" w:eastAsia="宋体" w:cs="宋体"/>
                <w:b/>
                <w:bCs/>
                <w:sz w:val="22"/>
                <w:szCs w:val="22"/>
              </w:rPr>
              <w:t>序号</w:t>
            </w:r>
          </w:p>
        </w:tc>
        <w:tc>
          <w:tcPr>
            <w:tcW w:w="1100" w:type="pct"/>
            <w:tcBorders>
              <w:top w:val="single" w:color="auto" w:sz="4" w:space="0"/>
              <w:left w:val="nil"/>
              <w:bottom w:val="single" w:color="auto" w:sz="4" w:space="0"/>
              <w:right w:val="single" w:color="auto" w:sz="4" w:space="0"/>
            </w:tcBorders>
            <w:vAlign w:val="center"/>
          </w:tcPr>
          <w:p w14:paraId="48552085">
            <w:pPr>
              <w:jc w:val="center"/>
              <w:rPr>
                <w:rFonts w:ascii="宋体" w:hAnsi="宋体" w:eastAsia="宋体" w:cs="宋体"/>
                <w:b/>
                <w:bCs/>
                <w:sz w:val="22"/>
                <w:szCs w:val="22"/>
              </w:rPr>
            </w:pPr>
            <w:r>
              <w:rPr>
                <w:rFonts w:hint="eastAsia" w:ascii="宋体" w:hAnsi="宋体" w:eastAsia="宋体" w:cs="宋体"/>
                <w:b/>
                <w:bCs/>
                <w:sz w:val="22"/>
                <w:szCs w:val="22"/>
              </w:rPr>
              <w:t>设备名称</w:t>
            </w:r>
          </w:p>
        </w:tc>
        <w:tc>
          <w:tcPr>
            <w:tcW w:w="2819" w:type="pct"/>
            <w:tcBorders>
              <w:top w:val="single" w:color="auto" w:sz="4" w:space="0"/>
              <w:left w:val="nil"/>
              <w:bottom w:val="single" w:color="auto" w:sz="4" w:space="0"/>
              <w:right w:val="single" w:color="auto" w:sz="4" w:space="0"/>
            </w:tcBorders>
            <w:vAlign w:val="center"/>
          </w:tcPr>
          <w:p w14:paraId="3BBF1D3F">
            <w:pPr>
              <w:jc w:val="center"/>
              <w:rPr>
                <w:rFonts w:ascii="宋体" w:hAnsi="宋体" w:eastAsia="宋体" w:cs="宋体"/>
                <w:b/>
                <w:bCs/>
                <w:sz w:val="22"/>
                <w:szCs w:val="22"/>
              </w:rPr>
            </w:pPr>
            <w:r>
              <w:rPr>
                <w:rFonts w:hint="eastAsia" w:ascii="宋体" w:hAnsi="宋体" w:eastAsia="宋体" w:cs="宋体"/>
                <w:b/>
                <w:bCs/>
                <w:sz w:val="22"/>
                <w:szCs w:val="22"/>
              </w:rPr>
              <w:t>配置要求</w:t>
            </w:r>
          </w:p>
        </w:tc>
        <w:tc>
          <w:tcPr>
            <w:tcW w:w="731" w:type="pct"/>
            <w:tcBorders>
              <w:top w:val="single" w:color="auto" w:sz="4" w:space="0"/>
              <w:left w:val="nil"/>
              <w:bottom w:val="single" w:color="auto" w:sz="4" w:space="0"/>
              <w:right w:val="single" w:color="auto" w:sz="4" w:space="0"/>
            </w:tcBorders>
            <w:vAlign w:val="center"/>
          </w:tcPr>
          <w:p w14:paraId="37B4111E">
            <w:pPr>
              <w:jc w:val="center"/>
              <w:rPr>
                <w:rFonts w:ascii="宋体" w:hAnsi="宋体" w:eastAsia="宋体" w:cs="宋体"/>
                <w:b/>
                <w:bCs/>
                <w:sz w:val="22"/>
                <w:szCs w:val="22"/>
              </w:rPr>
            </w:pPr>
            <w:r>
              <w:rPr>
                <w:rFonts w:hint="eastAsia" w:ascii="宋体" w:hAnsi="宋体" w:eastAsia="宋体" w:cs="宋体"/>
                <w:b/>
                <w:bCs/>
                <w:sz w:val="22"/>
                <w:szCs w:val="22"/>
              </w:rPr>
              <w:t>数量</w:t>
            </w:r>
          </w:p>
        </w:tc>
      </w:tr>
      <w:tr w14:paraId="6BCA42A3">
        <w:tblPrEx>
          <w:tblCellMar>
            <w:top w:w="0" w:type="dxa"/>
            <w:left w:w="108" w:type="dxa"/>
            <w:bottom w:w="0" w:type="dxa"/>
            <w:right w:w="108" w:type="dxa"/>
          </w:tblCellMar>
        </w:tblPrEx>
        <w:trPr>
          <w:trHeight w:val="20" w:hRule="atLeast"/>
        </w:trPr>
        <w:tc>
          <w:tcPr>
            <w:tcW w:w="350" w:type="pct"/>
            <w:tcBorders>
              <w:top w:val="nil"/>
              <w:left w:val="single" w:color="auto" w:sz="4" w:space="0"/>
              <w:bottom w:val="single" w:color="auto" w:sz="4" w:space="0"/>
              <w:right w:val="single" w:color="auto" w:sz="4" w:space="0"/>
            </w:tcBorders>
            <w:vAlign w:val="center"/>
          </w:tcPr>
          <w:p w14:paraId="54709D41">
            <w:pPr>
              <w:jc w:val="both"/>
              <w:rPr>
                <w:rFonts w:ascii="宋体" w:hAnsi="宋体" w:eastAsia="宋体" w:cs="宋体"/>
                <w:b/>
                <w:bCs/>
                <w:sz w:val="22"/>
                <w:szCs w:val="22"/>
              </w:rPr>
            </w:pPr>
            <w:r>
              <w:rPr>
                <w:rFonts w:hint="eastAsia" w:ascii="宋体" w:hAnsi="宋体" w:eastAsia="宋体" w:cs="宋体"/>
                <w:b/>
                <w:bCs/>
                <w:sz w:val="22"/>
                <w:szCs w:val="22"/>
              </w:rPr>
              <w:t>1</w:t>
            </w:r>
          </w:p>
        </w:tc>
        <w:tc>
          <w:tcPr>
            <w:tcW w:w="1100" w:type="pct"/>
            <w:tcBorders>
              <w:top w:val="nil"/>
              <w:left w:val="nil"/>
              <w:bottom w:val="single" w:color="auto" w:sz="4" w:space="0"/>
              <w:right w:val="single" w:color="auto" w:sz="4" w:space="0"/>
            </w:tcBorders>
            <w:vAlign w:val="center"/>
          </w:tcPr>
          <w:p w14:paraId="7F4D9DAD">
            <w:pPr>
              <w:jc w:val="both"/>
              <w:rPr>
                <w:rFonts w:ascii="宋体" w:hAnsi="宋体" w:eastAsia="宋体" w:cs="宋体"/>
                <w:b/>
                <w:bCs/>
                <w:sz w:val="22"/>
                <w:szCs w:val="22"/>
              </w:rPr>
            </w:pPr>
            <w:r>
              <w:rPr>
                <w:rFonts w:hint="eastAsia" w:ascii="宋体" w:hAnsi="宋体" w:eastAsia="宋体" w:cs="宋体"/>
                <w:b/>
                <w:bCs/>
                <w:sz w:val="22"/>
                <w:szCs w:val="22"/>
              </w:rPr>
              <w:t>国产化数据库服务器-1</w:t>
            </w:r>
          </w:p>
        </w:tc>
        <w:tc>
          <w:tcPr>
            <w:tcW w:w="2819" w:type="pct"/>
            <w:tcBorders>
              <w:top w:val="nil"/>
              <w:left w:val="nil"/>
              <w:bottom w:val="single" w:color="auto" w:sz="4" w:space="0"/>
              <w:right w:val="single" w:color="auto" w:sz="4" w:space="0"/>
            </w:tcBorders>
            <w:vAlign w:val="center"/>
          </w:tcPr>
          <w:p w14:paraId="04345B00">
            <w:pPr>
              <w:jc w:val="both"/>
              <w:rPr>
                <w:rFonts w:ascii="宋体" w:hAnsi="宋体" w:eastAsia="宋体" w:cs="宋体"/>
                <w:sz w:val="22"/>
                <w:szCs w:val="22"/>
              </w:rPr>
            </w:pPr>
            <w:r>
              <w:rPr>
                <w:rFonts w:hint="eastAsia" w:ascii="宋体" w:hAnsi="宋体" w:eastAsia="宋体" w:cs="宋体"/>
                <w:sz w:val="22"/>
                <w:szCs w:val="22"/>
              </w:rPr>
              <w:t>1、CPU：配置≥2颗C86-4G架构处理器（每CPU≥2.5GHz主频，≥32核，支持超线程）；</w:t>
            </w:r>
            <w:r>
              <w:rPr>
                <w:rFonts w:hint="eastAsia" w:ascii="宋体" w:hAnsi="宋体" w:eastAsia="宋体" w:cs="宋体"/>
                <w:sz w:val="22"/>
                <w:szCs w:val="22"/>
              </w:rPr>
              <w:br w:type="textWrapping"/>
            </w:r>
            <w:r>
              <w:rPr>
                <w:rFonts w:hint="eastAsia" w:ascii="宋体" w:hAnsi="宋体" w:eastAsia="宋体" w:cs="宋体"/>
                <w:sz w:val="22"/>
                <w:szCs w:val="22"/>
              </w:rPr>
              <w:t>2、内存：配置≥6*64GB DDR5内存；整机可提供≥16个内存插槽；</w:t>
            </w:r>
            <w:r>
              <w:rPr>
                <w:rFonts w:hint="eastAsia" w:ascii="宋体" w:hAnsi="宋体" w:eastAsia="宋体" w:cs="宋体"/>
                <w:sz w:val="22"/>
                <w:szCs w:val="22"/>
              </w:rPr>
              <w:br w:type="textWrapping"/>
            </w:r>
            <w:r>
              <w:rPr>
                <w:rFonts w:hint="eastAsia" w:ascii="宋体" w:hAnsi="宋体" w:eastAsia="宋体" w:cs="宋体"/>
                <w:sz w:val="22"/>
                <w:szCs w:val="22"/>
              </w:rPr>
              <w:t>3、硬盘：配置≥2块960GB SSD硬盘；</w:t>
            </w:r>
            <w:r>
              <w:rPr>
                <w:rFonts w:hint="eastAsia" w:ascii="宋体" w:hAnsi="宋体" w:eastAsia="宋体" w:cs="宋体"/>
                <w:sz w:val="22"/>
                <w:szCs w:val="22"/>
              </w:rPr>
              <w:br w:type="textWrapping"/>
            </w:r>
            <w:r>
              <w:rPr>
                <w:rFonts w:hint="eastAsia" w:ascii="宋体" w:hAnsi="宋体" w:eastAsia="宋体" w:cs="宋体"/>
                <w:sz w:val="22"/>
                <w:szCs w:val="22"/>
              </w:rPr>
              <w:t>4、Raid卡：配置≥1块12Gb Raid卡，支持Raid0/1/10；</w:t>
            </w:r>
            <w:r>
              <w:rPr>
                <w:rFonts w:hint="eastAsia" w:ascii="宋体" w:hAnsi="宋体" w:eastAsia="宋体" w:cs="宋体"/>
                <w:sz w:val="22"/>
                <w:szCs w:val="22"/>
              </w:rPr>
              <w:br w:type="textWrapping"/>
            </w:r>
            <w:r>
              <w:rPr>
                <w:rFonts w:hint="eastAsia" w:ascii="宋体" w:hAnsi="宋体" w:eastAsia="宋体" w:cs="宋体"/>
                <w:sz w:val="22"/>
                <w:szCs w:val="22"/>
              </w:rPr>
              <w:t>5、网络端口：配置≥2*GE电口，≥4*10GE光口（含光模块），≥2块双端口32Gb HBA卡（含光模块）；</w:t>
            </w:r>
            <w:r>
              <w:rPr>
                <w:rFonts w:hint="eastAsia" w:ascii="宋体" w:hAnsi="宋体" w:eastAsia="宋体" w:cs="宋体"/>
                <w:sz w:val="22"/>
                <w:szCs w:val="22"/>
              </w:rPr>
              <w:br w:type="textWrapping"/>
            </w:r>
            <w:r>
              <w:rPr>
                <w:rFonts w:hint="eastAsia" w:ascii="宋体" w:hAnsi="宋体" w:eastAsia="宋体" w:cs="宋体"/>
                <w:sz w:val="22"/>
                <w:szCs w:val="22"/>
              </w:rPr>
              <w:t>6、电源：配置≥2个交流电源；</w:t>
            </w:r>
            <w:r>
              <w:rPr>
                <w:rFonts w:hint="eastAsia" w:ascii="宋体" w:hAnsi="宋体" w:eastAsia="宋体" w:cs="宋体"/>
                <w:sz w:val="22"/>
                <w:szCs w:val="22"/>
              </w:rPr>
              <w:br w:type="textWrapping"/>
            </w:r>
            <w:r>
              <w:rPr>
                <w:rFonts w:hint="eastAsia" w:ascii="宋体" w:hAnsi="宋体" w:eastAsia="宋体" w:cs="宋体"/>
                <w:sz w:val="22"/>
                <w:szCs w:val="22"/>
              </w:rPr>
              <w:t>7、管理：配置≥1个管理口，提供全面的故障诊断、运维和远程管理的功能；</w:t>
            </w:r>
            <w:r>
              <w:rPr>
                <w:rFonts w:hint="eastAsia" w:ascii="宋体" w:hAnsi="宋体" w:eastAsia="宋体" w:cs="宋体"/>
                <w:sz w:val="22"/>
                <w:szCs w:val="22"/>
              </w:rPr>
              <w:br w:type="textWrapping"/>
            </w:r>
            <w:r>
              <w:rPr>
                <w:rFonts w:hint="eastAsia" w:ascii="宋体" w:hAnsi="宋体" w:eastAsia="宋体" w:cs="宋体"/>
                <w:sz w:val="22"/>
                <w:szCs w:val="22"/>
              </w:rPr>
              <w:t>8、提供</w:t>
            </w:r>
            <w:r>
              <w:rPr>
                <w:rFonts w:hint="eastAsia" w:ascii="宋体" w:hAnsi="宋体" w:eastAsia="宋体" w:cs="宋体"/>
                <w:sz w:val="22"/>
                <w:szCs w:val="22"/>
                <w:lang w:eastAsia="zh-CN"/>
              </w:rPr>
              <w:t>5年原厂维保服务</w:t>
            </w:r>
            <w:r>
              <w:rPr>
                <w:rFonts w:hint="eastAsia" w:ascii="宋体" w:hAnsi="宋体" w:eastAsia="宋体" w:cs="宋体"/>
                <w:sz w:val="22"/>
                <w:szCs w:val="22"/>
              </w:rPr>
              <w:t>；</w:t>
            </w:r>
          </w:p>
          <w:p w14:paraId="5FA6F899">
            <w:pPr>
              <w:jc w:val="both"/>
              <w:rPr>
                <w:rFonts w:ascii="宋体" w:hAnsi="宋体" w:eastAsia="宋体" w:cs="宋体"/>
                <w:sz w:val="22"/>
                <w:szCs w:val="22"/>
              </w:rPr>
            </w:pPr>
            <w:r>
              <w:rPr>
                <w:rFonts w:hint="eastAsia" w:ascii="宋体" w:hAnsi="宋体" w:eastAsia="宋体" w:cs="宋体"/>
                <w:sz w:val="22"/>
                <w:szCs w:val="22"/>
              </w:rPr>
              <w:t>9、须包含接入到现网国产虚拟化平台的软件授权，实现资源统一管理，无须新建虚拟化平台；</w:t>
            </w:r>
          </w:p>
        </w:tc>
        <w:tc>
          <w:tcPr>
            <w:tcW w:w="731" w:type="pct"/>
            <w:tcBorders>
              <w:top w:val="nil"/>
              <w:left w:val="nil"/>
              <w:bottom w:val="single" w:color="auto" w:sz="4" w:space="0"/>
              <w:right w:val="single" w:color="auto" w:sz="4" w:space="0"/>
            </w:tcBorders>
            <w:vAlign w:val="center"/>
          </w:tcPr>
          <w:p w14:paraId="2DA3463C">
            <w:pPr>
              <w:jc w:val="both"/>
              <w:rPr>
                <w:rFonts w:ascii="宋体" w:hAnsi="宋体" w:eastAsia="宋体" w:cs="宋体"/>
                <w:sz w:val="22"/>
                <w:szCs w:val="22"/>
              </w:rPr>
            </w:pPr>
            <w:r>
              <w:rPr>
                <w:rFonts w:hint="eastAsia" w:ascii="宋体" w:hAnsi="宋体" w:eastAsia="宋体" w:cs="宋体"/>
                <w:sz w:val="22"/>
                <w:szCs w:val="22"/>
              </w:rPr>
              <w:t>2台</w:t>
            </w:r>
          </w:p>
        </w:tc>
      </w:tr>
      <w:tr w14:paraId="619C1EDB">
        <w:tblPrEx>
          <w:tblCellMar>
            <w:top w:w="0" w:type="dxa"/>
            <w:left w:w="108" w:type="dxa"/>
            <w:bottom w:w="0" w:type="dxa"/>
            <w:right w:w="108" w:type="dxa"/>
          </w:tblCellMar>
        </w:tblPrEx>
        <w:trPr>
          <w:trHeight w:val="20" w:hRule="atLeast"/>
        </w:trPr>
        <w:tc>
          <w:tcPr>
            <w:tcW w:w="350" w:type="pct"/>
            <w:tcBorders>
              <w:top w:val="nil"/>
              <w:left w:val="single" w:color="auto" w:sz="4" w:space="0"/>
              <w:bottom w:val="single" w:color="auto" w:sz="4" w:space="0"/>
              <w:right w:val="single" w:color="auto" w:sz="4" w:space="0"/>
            </w:tcBorders>
            <w:vAlign w:val="center"/>
          </w:tcPr>
          <w:p w14:paraId="496B550F">
            <w:pPr>
              <w:jc w:val="both"/>
              <w:rPr>
                <w:rFonts w:ascii="宋体" w:hAnsi="宋体" w:eastAsia="宋体" w:cs="宋体"/>
                <w:b/>
                <w:bCs/>
                <w:sz w:val="22"/>
                <w:szCs w:val="22"/>
              </w:rPr>
            </w:pPr>
            <w:r>
              <w:rPr>
                <w:rFonts w:hint="eastAsia" w:ascii="宋体" w:hAnsi="宋体" w:eastAsia="宋体" w:cs="宋体"/>
                <w:b/>
                <w:bCs/>
                <w:sz w:val="22"/>
                <w:szCs w:val="22"/>
              </w:rPr>
              <w:t>2</w:t>
            </w:r>
          </w:p>
        </w:tc>
        <w:tc>
          <w:tcPr>
            <w:tcW w:w="1100" w:type="pct"/>
            <w:tcBorders>
              <w:top w:val="nil"/>
              <w:left w:val="nil"/>
              <w:bottom w:val="single" w:color="auto" w:sz="4" w:space="0"/>
              <w:right w:val="single" w:color="auto" w:sz="4" w:space="0"/>
            </w:tcBorders>
            <w:vAlign w:val="center"/>
          </w:tcPr>
          <w:p w14:paraId="35AB053B">
            <w:pPr>
              <w:jc w:val="both"/>
              <w:rPr>
                <w:rFonts w:ascii="宋体" w:hAnsi="宋体" w:eastAsia="宋体" w:cs="宋体"/>
                <w:b/>
                <w:bCs/>
                <w:sz w:val="22"/>
                <w:szCs w:val="22"/>
              </w:rPr>
            </w:pPr>
            <w:r>
              <w:rPr>
                <w:rFonts w:hint="eastAsia" w:ascii="宋体" w:hAnsi="宋体" w:eastAsia="宋体" w:cs="宋体"/>
                <w:b/>
                <w:bCs/>
                <w:sz w:val="22"/>
                <w:szCs w:val="22"/>
              </w:rPr>
              <w:t>国产化数据库服务器-2</w:t>
            </w:r>
          </w:p>
        </w:tc>
        <w:tc>
          <w:tcPr>
            <w:tcW w:w="2819" w:type="pct"/>
            <w:tcBorders>
              <w:top w:val="nil"/>
              <w:left w:val="nil"/>
              <w:bottom w:val="single" w:color="auto" w:sz="4" w:space="0"/>
              <w:right w:val="single" w:color="auto" w:sz="4" w:space="0"/>
            </w:tcBorders>
            <w:vAlign w:val="center"/>
          </w:tcPr>
          <w:p w14:paraId="1EEBF24B">
            <w:pPr>
              <w:jc w:val="both"/>
              <w:rPr>
                <w:rFonts w:ascii="宋体" w:hAnsi="宋体" w:eastAsia="宋体" w:cs="宋体"/>
                <w:sz w:val="22"/>
                <w:szCs w:val="22"/>
              </w:rPr>
            </w:pPr>
            <w:r>
              <w:rPr>
                <w:rFonts w:hint="eastAsia" w:ascii="宋体" w:hAnsi="宋体" w:eastAsia="宋体" w:cs="宋体"/>
                <w:sz w:val="22"/>
                <w:szCs w:val="22"/>
              </w:rPr>
              <w:t>1、CPU：配置≥2颗ARM架构处理器（每CPU≥2.6GHz主频，≥32核，支持超线程）；</w:t>
            </w:r>
            <w:r>
              <w:rPr>
                <w:rFonts w:hint="eastAsia" w:ascii="宋体" w:hAnsi="宋体" w:eastAsia="宋体" w:cs="宋体"/>
                <w:sz w:val="22"/>
                <w:szCs w:val="22"/>
              </w:rPr>
              <w:br w:type="textWrapping"/>
            </w:r>
            <w:r>
              <w:rPr>
                <w:rFonts w:hint="eastAsia" w:ascii="宋体" w:hAnsi="宋体" w:eastAsia="宋体" w:cs="宋体"/>
                <w:sz w:val="22"/>
                <w:szCs w:val="22"/>
              </w:rPr>
              <w:t>2、内存：配置≥6*64GB DDR5内存；整机可提供≥16个内存插槽；</w:t>
            </w:r>
            <w:r>
              <w:rPr>
                <w:rFonts w:hint="eastAsia" w:ascii="宋体" w:hAnsi="宋体" w:eastAsia="宋体" w:cs="宋体"/>
                <w:sz w:val="22"/>
                <w:szCs w:val="22"/>
              </w:rPr>
              <w:br w:type="textWrapping"/>
            </w:r>
            <w:r>
              <w:rPr>
                <w:rFonts w:hint="eastAsia" w:ascii="宋体" w:hAnsi="宋体" w:eastAsia="宋体" w:cs="宋体"/>
                <w:sz w:val="22"/>
                <w:szCs w:val="22"/>
              </w:rPr>
              <w:t>3、硬盘：配置≥2块960GB SSD硬盘；</w:t>
            </w:r>
            <w:r>
              <w:rPr>
                <w:rFonts w:hint="eastAsia" w:ascii="宋体" w:hAnsi="宋体" w:eastAsia="宋体" w:cs="宋体"/>
                <w:sz w:val="22"/>
                <w:szCs w:val="22"/>
              </w:rPr>
              <w:br w:type="textWrapping"/>
            </w:r>
            <w:r>
              <w:rPr>
                <w:rFonts w:hint="eastAsia" w:ascii="宋体" w:hAnsi="宋体" w:eastAsia="宋体" w:cs="宋体"/>
                <w:sz w:val="22"/>
                <w:szCs w:val="22"/>
              </w:rPr>
              <w:t>4、Raid卡：配置≥1块12Gb Raid卡，支持Raid0/1/10；</w:t>
            </w:r>
            <w:r>
              <w:rPr>
                <w:rFonts w:hint="eastAsia" w:ascii="宋体" w:hAnsi="宋体" w:eastAsia="宋体" w:cs="宋体"/>
                <w:sz w:val="22"/>
                <w:szCs w:val="22"/>
              </w:rPr>
              <w:br w:type="textWrapping"/>
            </w:r>
            <w:r>
              <w:rPr>
                <w:rFonts w:hint="eastAsia" w:ascii="宋体" w:hAnsi="宋体" w:eastAsia="宋体" w:cs="宋体"/>
                <w:sz w:val="22"/>
                <w:szCs w:val="22"/>
              </w:rPr>
              <w:t>5、网络端口：配置≥4*GE电口，≥4*10GE光口（含光模块），≥2块双端口32Gb HBA卡（含光模块）；</w:t>
            </w:r>
            <w:r>
              <w:rPr>
                <w:rFonts w:hint="eastAsia" w:ascii="宋体" w:hAnsi="宋体" w:eastAsia="宋体" w:cs="宋体"/>
                <w:sz w:val="22"/>
                <w:szCs w:val="22"/>
              </w:rPr>
              <w:br w:type="textWrapping"/>
            </w:r>
            <w:r>
              <w:rPr>
                <w:rFonts w:hint="eastAsia" w:ascii="宋体" w:hAnsi="宋体" w:eastAsia="宋体" w:cs="宋体"/>
                <w:sz w:val="22"/>
                <w:szCs w:val="22"/>
              </w:rPr>
              <w:t>6、电源：配置≥2个交流电源；</w:t>
            </w:r>
            <w:r>
              <w:rPr>
                <w:rFonts w:hint="eastAsia" w:ascii="宋体" w:hAnsi="宋体" w:eastAsia="宋体" w:cs="宋体"/>
                <w:sz w:val="22"/>
                <w:szCs w:val="22"/>
              </w:rPr>
              <w:br w:type="textWrapping"/>
            </w:r>
            <w:r>
              <w:rPr>
                <w:rFonts w:hint="eastAsia" w:ascii="宋体" w:hAnsi="宋体" w:eastAsia="宋体" w:cs="宋体"/>
                <w:sz w:val="22"/>
                <w:szCs w:val="22"/>
              </w:rPr>
              <w:t>7、管理：配置≥1个管理口，提供全面的故障诊断、运维和远程管理的功能；</w:t>
            </w:r>
            <w:r>
              <w:rPr>
                <w:rFonts w:hint="eastAsia" w:ascii="宋体" w:hAnsi="宋体" w:eastAsia="宋体" w:cs="宋体"/>
                <w:sz w:val="22"/>
                <w:szCs w:val="22"/>
              </w:rPr>
              <w:br w:type="textWrapping"/>
            </w:r>
            <w:r>
              <w:rPr>
                <w:rFonts w:hint="eastAsia" w:ascii="宋体" w:hAnsi="宋体" w:eastAsia="宋体" w:cs="宋体"/>
                <w:sz w:val="22"/>
                <w:szCs w:val="22"/>
              </w:rPr>
              <w:t>8、提供</w:t>
            </w:r>
            <w:r>
              <w:rPr>
                <w:rFonts w:hint="eastAsia" w:ascii="宋体" w:hAnsi="宋体" w:eastAsia="宋体" w:cs="宋体"/>
                <w:sz w:val="22"/>
                <w:szCs w:val="22"/>
                <w:lang w:eastAsia="zh-CN"/>
              </w:rPr>
              <w:t>5年原厂维保服务</w:t>
            </w:r>
            <w:r>
              <w:rPr>
                <w:rFonts w:hint="eastAsia" w:ascii="宋体" w:hAnsi="宋体" w:eastAsia="宋体" w:cs="宋体"/>
                <w:sz w:val="22"/>
                <w:szCs w:val="22"/>
              </w:rPr>
              <w:t>；</w:t>
            </w:r>
          </w:p>
          <w:p w14:paraId="7CF467AB">
            <w:pPr>
              <w:jc w:val="both"/>
              <w:rPr>
                <w:rFonts w:ascii="宋体" w:hAnsi="宋体" w:eastAsia="宋体" w:cs="宋体"/>
                <w:sz w:val="22"/>
                <w:szCs w:val="22"/>
              </w:rPr>
            </w:pPr>
            <w:r>
              <w:rPr>
                <w:rFonts w:hint="eastAsia" w:ascii="宋体" w:hAnsi="宋体" w:eastAsia="宋体" w:cs="宋体"/>
                <w:sz w:val="22"/>
                <w:szCs w:val="22"/>
              </w:rPr>
              <w:t>9、须包含接入到现网国产虚拟化平台的软件授权，实现资源统一管理，无须新建虚拟化平台；</w:t>
            </w:r>
          </w:p>
        </w:tc>
        <w:tc>
          <w:tcPr>
            <w:tcW w:w="731" w:type="pct"/>
            <w:tcBorders>
              <w:top w:val="nil"/>
              <w:left w:val="nil"/>
              <w:bottom w:val="single" w:color="auto" w:sz="4" w:space="0"/>
              <w:right w:val="single" w:color="auto" w:sz="4" w:space="0"/>
            </w:tcBorders>
            <w:vAlign w:val="center"/>
          </w:tcPr>
          <w:p w14:paraId="1A91ACBA">
            <w:pPr>
              <w:jc w:val="both"/>
              <w:rPr>
                <w:rFonts w:ascii="宋体" w:hAnsi="宋体" w:eastAsia="宋体" w:cs="宋体"/>
                <w:sz w:val="22"/>
                <w:szCs w:val="22"/>
              </w:rPr>
            </w:pPr>
            <w:r>
              <w:rPr>
                <w:rFonts w:hint="eastAsia" w:ascii="宋体" w:hAnsi="宋体" w:eastAsia="宋体" w:cs="宋体"/>
                <w:sz w:val="22"/>
                <w:szCs w:val="22"/>
              </w:rPr>
              <w:t>3台</w:t>
            </w:r>
          </w:p>
        </w:tc>
      </w:tr>
      <w:tr w14:paraId="53A0A102">
        <w:tblPrEx>
          <w:tblCellMar>
            <w:top w:w="0" w:type="dxa"/>
            <w:left w:w="108" w:type="dxa"/>
            <w:bottom w:w="0" w:type="dxa"/>
            <w:right w:w="108" w:type="dxa"/>
          </w:tblCellMar>
        </w:tblPrEx>
        <w:trPr>
          <w:trHeight w:val="20" w:hRule="atLeast"/>
        </w:trPr>
        <w:tc>
          <w:tcPr>
            <w:tcW w:w="350" w:type="pct"/>
            <w:tcBorders>
              <w:top w:val="nil"/>
              <w:left w:val="single" w:color="auto" w:sz="4" w:space="0"/>
              <w:bottom w:val="single" w:color="auto" w:sz="4" w:space="0"/>
              <w:right w:val="single" w:color="auto" w:sz="4" w:space="0"/>
            </w:tcBorders>
            <w:vAlign w:val="center"/>
          </w:tcPr>
          <w:p w14:paraId="3D5895BE">
            <w:pPr>
              <w:jc w:val="both"/>
              <w:rPr>
                <w:rFonts w:ascii="宋体" w:hAnsi="宋体" w:eastAsia="宋体" w:cs="宋体"/>
                <w:b/>
                <w:bCs/>
                <w:sz w:val="22"/>
                <w:szCs w:val="22"/>
              </w:rPr>
            </w:pPr>
            <w:r>
              <w:rPr>
                <w:rFonts w:hint="eastAsia" w:ascii="宋体" w:hAnsi="宋体" w:eastAsia="宋体" w:cs="宋体"/>
                <w:b/>
                <w:bCs/>
                <w:sz w:val="22"/>
                <w:szCs w:val="22"/>
              </w:rPr>
              <w:t>3</w:t>
            </w:r>
          </w:p>
        </w:tc>
        <w:tc>
          <w:tcPr>
            <w:tcW w:w="1100" w:type="pct"/>
            <w:tcBorders>
              <w:top w:val="nil"/>
              <w:left w:val="nil"/>
              <w:bottom w:val="single" w:color="auto" w:sz="4" w:space="0"/>
              <w:right w:val="single" w:color="auto" w:sz="4" w:space="0"/>
            </w:tcBorders>
            <w:vAlign w:val="center"/>
          </w:tcPr>
          <w:p w14:paraId="0A75803B">
            <w:pPr>
              <w:jc w:val="both"/>
              <w:rPr>
                <w:rFonts w:ascii="宋体" w:hAnsi="宋体" w:eastAsia="宋体" w:cs="宋体"/>
                <w:b/>
                <w:bCs/>
                <w:sz w:val="22"/>
                <w:szCs w:val="22"/>
              </w:rPr>
            </w:pPr>
            <w:r>
              <w:rPr>
                <w:rFonts w:hint="eastAsia" w:ascii="宋体" w:hAnsi="宋体" w:eastAsia="宋体" w:cs="宋体"/>
                <w:b/>
                <w:bCs/>
                <w:sz w:val="22"/>
                <w:szCs w:val="22"/>
              </w:rPr>
              <w:t>国产化应用服务器</w:t>
            </w:r>
          </w:p>
        </w:tc>
        <w:tc>
          <w:tcPr>
            <w:tcW w:w="2819" w:type="pct"/>
            <w:tcBorders>
              <w:top w:val="nil"/>
              <w:left w:val="nil"/>
              <w:bottom w:val="single" w:color="auto" w:sz="4" w:space="0"/>
              <w:right w:val="single" w:color="auto" w:sz="4" w:space="0"/>
            </w:tcBorders>
            <w:vAlign w:val="center"/>
          </w:tcPr>
          <w:p w14:paraId="4D803502">
            <w:pPr>
              <w:jc w:val="both"/>
              <w:rPr>
                <w:rFonts w:ascii="宋体" w:hAnsi="宋体" w:eastAsia="宋体" w:cs="宋体"/>
                <w:sz w:val="22"/>
                <w:szCs w:val="22"/>
              </w:rPr>
            </w:pPr>
            <w:r>
              <w:rPr>
                <w:rFonts w:hint="eastAsia" w:ascii="宋体" w:hAnsi="宋体" w:eastAsia="宋体" w:cs="宋体"/>
                <w:sz w:val="22"/>
                <w:szCs w:val="22"/>
              </w:rPr>
              <w:t>1、CPU：配置≥2颗ARM架构处理器（每CPU≥2.6GHz主频，≥32核，支持超线程）；</w:t>
            </w:r>
            <w:r>
              <w:rPr>
                <w:rFonts w:hint="eastAsia" w:ascii="宋体" w:hAnsi="宋体" w:eastAsia="宋体" w:cs="宋体"/>
                <w:sz w:val="22"/>
                <w:szCs w:val="22"/>
              </w:rPr>
              <w:br w:type="textWrapping"/>
            </w:r>
            <w:r>
              <w:rPr>
                <w:rFonts w:hint="eastAsia" w:ascii="宋体" w:hAnsi="宋体" w:eastAsia="宋体" w:cs="宋体"/>
                <w:sz w:val="22"/>
                <w:szCs w:val="22"/>
              </w:rPr>
              <w:t>2、内存：配置≥6*64GB DDR5内存；整机可提供≥16个内存插槽；</w:t>
            </w:r>
            <w:r>
              <w:rPr>
                <w:rFonts w:hint="eastAsia" w:ascii="宋体" w:hAnsi="宋体" w:eastAsia="宋体" w:cs="宋体"/>
                <w:sz w:val="22"/>
                <w:szCs w:val="22"/>
              </w:rPr>
              <w:br w:type="textWrapping"/>
            </w:r>
            <w:r>
              <w:rPr>
                <w:rFonts w:hint="eastAsia" w:ascii="宋体" w:hAnsi="宋体" w:eastAsia="宋体" w:cs="宋体"/>
                <w:sz w:val="22"/>
                <w:szCs w:val="22"/>
              </w:rPr>
              <w:t>3、硬盘：配置≥2块960GB SSD硬盘；</w:t>
            </w:r>
            <w:r>
              <w:rPr>
                <w:rFonts w:hint="eastAsia" w:ascii="宋体" w:hAnsi="宋体" w:eastAsia="宋体" w:cs="宋体"/>
                <w:sz w:val="22"/>
                <w:szCs w:val="22"/>
              </w:rPr>
              <w:br w:type="textWrapping"/>
            </w:r>
            <w:r>
              <w:rPr>
                <w:rFonts w:hint="eastAsia" w:ascii="宋体" w:hAnsi="宋体" w:eastAsia="宋体" w:cs="宋体"/>
                <w:sz w:val="22"/>
                <w:szCs w:val="22"/>
              </w:rPr>
              <w:t>4、Raid卡：配置≥1块12Gb Raid卡，支持Raid0/1/10；</w:t>
            </w:r>
            <w:r>
              <w:rPr>
                <w:rFonts w:hint="eastAsia" w:ascii="宋体" w:hAnsi="宋体" w:eastAsia="宋体" w:cs="宋体"/>
                <w:sz w:val="22"/>
                <w:szCs w:val="22"/>
              </w:rPr>
              <w:br w:type="textWrapping"/>
            </w:r>
            <w:r>
              <w:rPr>
                <w:rFonts w:hint="eastAsia" w:ascii="宋体" w:hAnsi="宋体" w:eastAsia="宋体" w:cs="宋体"/>
                <w:sz w:val="22"/>
                <w:szCs w:val="22"/>
              </w:rPr>
              <w:t>5、网络端口：配置≥4*GE电口，≥4*10GE光口（含光模块），≥2块双端口32Gb HBA卡（含光模块）；</w:t>
            </w:r>
            <w:r>
              <w:rPr>
                <w:rFonts w:hint="eastAsia" w:ascii="宋体" w:hAnsi="宋体" w:eastAsia="宋体" w:cs="宋体"/>
                <w:sz w:val="22"/>
                <w:szCs w:val="22"/>
              </w:rPr>
              <w:br w:type="textWrapping"/>
            </w:r>
            <w:r>
              <w:rPr>
                <w:rFonts w:hint="eastAsia" w:ascii="宋体" w:hAnsi="宋体" w:eastAsia="宋体" w:cs="宋体"/>
                <w:sz w:val="22"/>
                <w:szCs w:val="22"/>
              </w:rPr>
              <w:t>6、电源：配置≥2个交流电源；</w:t>
            </w:r>
            <w:r>
              <w:rPr>
                <w:rFonts w:hint="eastAsia" w:ascii="宋体" w:hAnsi="宋体" w:eastAsia="宋体" w:cs="宋体"/>
                <w:sz w:val="22"/>
                <w:szCs w:val="22"/>
              </w:rPr>
              <w:br w:type="textWrapping"/>
            </w:r>
            <w:r>
              <w:rPr>
                <w:rFonts w:hint="eastAsia" w:ascii="宋体" w:hAnsi="宋体" w:eastAsia="宋体" w:cs="宋体"/>
                <w:sz w:val="22"/>
                <w:szCs w:val="22"/>
              </w:rPr>
              <w:t>7、管理：配置≥1个管理口，提供全面的故障诊断、运维和远程管理的功能；</w:t>
            </w:r>
            <w:r>
              <w:rPr>
                <w:rFonts w:hint="eastAsia" w:ascii="宋体" w:hAnsi="宋体" w:eastAsia="宋体" w:cs="宋体"/>
                <w:sz w:val="22"/>
                <w:szCs w:val="22"/>
              </w:rPr>
              <w:br w:type="textWrapping"/>
            </w:r>
            <w:r>
              <w:rPr>
                <w:rFonts w:hint="eastAsia" w:ascii="宋体" w:hAnsi="宋体" w:eastAsia="宋体" w:cs="宋体"/>
                <w:sz w:val="22"/>
                <w:szCs w:val="22"/>
              </w:rPr>
              <w:t>8、提供</w:t>
            </w:r>
            <w:r>
              <w:rPr>
                <w:rFonts w:hint="eastAsia" w:ascii="宋体" w:hAnsi="宋体" w:eastAsia="宋体" w:cs="宋体"/>
                <w:sz w:val="22"/>
                <w:szCs w:val="22"/>
                <w:lang w:eastAsia="zh-CN"/>
              </w:rPr>
              <w:t>5年原厂维保服务</w:t>
            </w:r>
            <w:r>
              <w:rPr>
                <w:rFonts w:hint="eastAsia" w:ascii="宋体" w:hAnsi="宋体" w:eastAsia="宋体" w:cs="宋体"/>
                <w:sz w:val="22"/>
                <w:szCs w:val="22"/>
              </w:rPr>
              <w:t>；</w:t>
            </w:r>
          </w:p>
          <w:p w14:paraId="58C5019E">
            <w:pPr>
              <w:jc w:val="both"/>
              <w:rPr>
                <w:rFonts w:ascii="宋体" w:hAnsi="宋体" w:eastAsia="宋体" w:cs="宋体"/>
                <w:sz w:val="22"/>
                <w:szCs w:val="22"/>
              </w:rPr>
            </w:pPr>
            <w:r>
              <w:rPr>
                <w:rFonts w:hint="eastAsia" w:ascii="宋体" w:hAnsi="宋体" w:eastAsia="宋体" w:cs="宋体"/>
                <w:sz w:val="22"/>
                <w:szCs w:val="22"/>
              </w:rPr>
              <w:t>9、须包含接入到现网国产虚拟化平台的软件授权，实现资源统一管理，无须新建虚拟化平台；</w:t>
            </w:r>
          </w:p>
        </w:tc>
        <w:tc>
          <w:tcPr>
            <w:tcW w:w="731" w:type="pct"/>
            <w:tcBorders>
              <w:top w:val="nil"/>
              <w:left w:val="nil"/>
              <w:bottom w:val="single" w:color="auto" w:sz="4" w:space="0"/>
              <w:right w:val="single" w:color="auto" w:sz="4" w:space="0"/>
            </w:tcBorders>
            <w:vAlign w:val="center"/>
          </w:tcPr>
          <w:p w14:paraId="4853D85F">
            <w:pPr>
              <w:jc w:val="both"/>
              <w:rPr>
                <w:rFonts w:ascii="宋体" w:hAnsi="宋体" w:eastAsia="宋体" w:cs="宋体"/>
                <w:sz w:val="22"/>
                <w:szCs w:val="22"/>
              </w:rPr>
            </w:pPr>
            <w:r>
              <w:rPr>
                <w:rFonts w:hint="eastAsia" w:ascii="宋体" w:hAnsi="宋体" w:eastAsia="宋体" w:cs="宋体"/>
                <w:sz w:val="22"/>
                <w:szCs w:val="22"/>
              </w:rPr>
              <w:t>5台</w:t>
            </w:r>
          </w:p>
        </w:tc>
      </w:tr>
    </w:tbl>
    <w:p w14:paraId="02F2EB89">
      <w:pPr>
        <w:numPr>
          <w:ilvl w:val="0"/>
          <w:numId w:val="0"/>
        </w:numPr>
        <w:spacing w:line="360" w:lineRule="auto"/>
        <w:rPr>
          <w:rFonts w:hint="eastAsia"/>
          <w:b/>
          <w:bCs/>
          <w:sz w:val="28"/>
          <w:szCs w:val="28"/>
        </w:rPr>
      </w:pPr>
      <w:r>
        <w:rPr>
          <w:rFonts w:hint="eastAsia"/>
          <w:b/>
          <w:bCs/>
          <w:sz w:val="28"/>
          <w:szCs w:val="28"/>
        </w:rPr>
        <w:t xml:space="preserve">项目2 </w:t>
      </w:r>
      <w:r>
        <w:rPr>
          <w:rFonts w:hint="eastAsia"/>
          <w:b/>
          <w:bCs/>
          <w:sz w:val="28"/>
          <w:szCs w:val="28"/>
          <w:lang w:val="en-US" w:eastAsia="zh-CN"/>
        </w:rPr>
        <w:t>高</w:t>
      </w:r>
      <w:r>
        <w:rPr>
          <w:rFonts w:hint="eastAsia"/>
          <w:b/>
          <w:bCs/>
          <w:sz w:val="28"/>
          <w:szCs w:val="28"/>
        </w:rPr>
        <w:t>配版</w:t>
      </w:r>
    </w:p>
    <w:tbl>
      <w:tblPr>
        <w:tblStyle w:val="16"/>
        <w:tblW w:w="5000" w:type="pct"/>
        <w:tblInd w:w="0" w:type="dxa"/>
        <w:tblLayout w:type="autofit"/>
        <w:tblCellMar>
          <w:top w:w="0" w:type="dxa"/>
          <w:left w:w="108" w:type="dxa"/>
          <w:bottom w:w="0" w:type="dxa"/>
          <w:right w:w="108" w:type="dxa"/>
        </w:tblCellMar>
      </w:tblPr>
      <w:tblGrid>
        <w:gridCol w:w="596"/>
        <w:gridCol w:w="1875"/>
        <w:gridCol w:w="4805"/>
        <w:gridCol w:w="1246"/>
      </w:tblGrid>
      <w:tr w14:paraId="7B571D3D">
        <w:tblPrEx>
          <w:tblCellMar>
            <w:top w:w="0" w:type="dxa"/>
            <w:left w:w="108" w:type="dxa"/>
            <w:bottom w:w="0" w:type="dxa"/>
            <w:right w:w="108" w:type="dxa"/>
          </w:tblCellMar>
        </w:tblPrEx>
        <w:trPr>
          <w:trHeight w:val="20" w:hRule="atLeast"/>
        </w:trPr>
        <w:tc>
          <w:tcPr>
            <w:tcW w:w="350" w:type="pct"/>
            <w:tcBorders>
              <w:top w:val="single" w:color="auto" w:sz="4" w:space="0"/>
              <w:left w:val="single" w:color="auto" w:sz="4" w:space="0"/>
              <w:bottom w:val="single" w:color="auto" w:sz="4" w:space="0"/>
              <w:right w:val="single" w:color="auto" w:sz="4" w:space="0"/>
            </w:tcBorders>
            <w:vAlign w:val="center"/>
          </w:tcPr>
          <w:p w14:paraId="5E7E3805">
            <w:pPr>
              <w:jc w:val="center"/>
              <w:rPr>
                <w:rFonts w:ascii="宋体" w:hAnsi="宋体" w:eastAsia="宋体" w:cs="宋体"/>
                <w:b/>
                <w:bCs/>
                <w:sz w:val="22"/>
                <w:szCs w:val="22"/>
              </w:rPr>
            </w:pPr>
            <w:r>
              <w:rPr>
                <w:rFonts w:hint="eastAsia" w:ascii="宋体" w:hAnsi="宋体" w:eastAsia="宋体" w:cs="宋体"/>
                <w:b/>
                <w:bCs/>
                <w:sz w:val="22"/>
                <w:szCs w:val="22"/>
              </w:rPr>
              <w:t>序号</w:t>
            </w:r>
          </w:p>
        </w:tc>
        <w:tc>
          <w:tcPr>
            <w:tcW w:w="1100" w:type="pct"/>
            <w:tcBorders>
              <w:top w:val="single" w:color="auto" w:sz="4" w:space="0"/>
              <w:left w:val="nil"/>
              <w:bottom w:val="single" w:color="auto" w:sz="4" w:space="0"/>
              <w:right w:val="single" w:color="auto" w:sz="4" w:space="0"/>
            </w:tcBorders>
            <w:vAlign w:val="center"/>
          </w:tcPr>
          <w:p w14:paraId="61FEA4D7">
            <w:pPr>
              <w:jc w:val="center"/>
              <w:rPr>
                <w:rFonts w:ascii="宋体" w:hAnsi="宋体" w:eastAsia="宋体" w:cs="宋体"/>
                <w:b/>
                <w:bCs/>
                <w:sz w:val="22"/>
                <w:szCs w:val="22"/>
              </w:rPr>
            </w:pPr>
            <w:r>
              <w:rPr>
                <w:rFonts w:hint="eastAsia" w:ascii="宋体" w:hAnsi="宋体" w:eastAsia="宋体" w:cs="宋体"/>
                <w:b/>
                <w:bCs/>
                <w:sz w:val="22"/>
                <w:szCs w:val="22"/>
              </w:rPr>
              <w:t>设备名称</w:t>
            </w:r>
          </w:p>
        </w:tc>
        <w:tc>
          <w:tcPr>
            <w:tcW w:w="2819" w:type="pct"/>
            <w:tcBorders>
              <w:top w:val="single" w:color="auto" w:sz="4" w:space="0"/>
              <w:left w:val="nil"/>
              <w:bottom w:val="single" w:color="auto" w:sz="4" w:space="0"/>
              <w:right w:val="single" w:color="auto" w:sz="4" w:space="0"/>
            </w:tcBorders>
            <w:vAlign w:val="center"/>
          </w:tcPr>
          <w:p w14:paraId="5A5E04BE">
            <w:pPr>
              <w:jc w:val="center"/>
              <w:rPr>
                <w:rFonts w:ascii="宋体" w:hAnsi="宋体" w:eastAsia="宋体" w:cs="宋体"/>
                <w:b/>
                <w:bCs/>
                <w:sz w:val="22"/>
                <w:szCs w:val="22"/>
              </w:rPr>
            </w:pPr>
            <w:r>
              <w:rPr>
                <w:rFonts w:hint="eastAsia" w:ascii="宋体" w:hAnsi="宋体" w:eastAsia="宋体" w:cs="宋体"/>
                <w:b/>
                <w:bCs/>
                <w:sz w:val="22"/>
                <w:szCs w:val="22"/>
              </w:rPr>
              <w:t>配置要求</w:t>
            </w:r>
          </w:p>
        </w:tc>
        <w:tc>
          <w:tcPr>
            <w:tcW w:w="731" w:type="pct"/>
            <w:tcBorders>
              <w:top w:val="single" w:color="auto" w:sz="4" w:space="0"/>
              <w:left w:val="nil"/>
              <w:bottom w:val="single" w:color="auto" w:sz="4" w:space="0"/>
              <w:right w:val="single" w:color="auto" w:sz="4" w:space="0"/>
            </w:tcBorders>
            <w:vAlign w:val="center"/>
          </w:tcPr>
          <w:p w14:paraId="398C6617">
            <w:pPr>
              <w:jc w:val="center"/>
              <w:rPr>
                <w:rFonts w:ascii="宋体" w:hAnsi="宋体" w:eastAsia="宋体" w:cs="宋体"/>
                <w:b/>
                <w:bCs/>
                <w:sz w:val="22"/>
                <w:szCs w:val="22"/>
              </w:rPr>
            </w:pPr>
            <w:r>
              <w:rPr>
                <w:rFonts w:hint="eastAsia" w:ascii="宋体" w:hAnsi="宋体" w:eastAsia="宋体" w:cs="宋体"/>
                <w:b/>
                <w:bCs/>
                <w:sz w:val="22"/>
                <w:szCs w:val="22"/>
              </w:rPr>
              <w:t>数量</w:t>
            </w:r>
          </w:p>
        </w:tc>
      </w:tr>
      <w:tr w14:paraId="50F90B8E">
        <w:tblPrEx>
          <w:tblCellMar>
            <w:top w:w="0" w:type="dxa"/>
            <w:left w:w="108" w:type="dxa"/>
            <w:bottom w:w="0" w:type="dxa"/>
            <w:right w:w="108" w:type="dxa"/>
          </w:tblCellMar>
        </w:tblPrEx>
        <w:trPr>
          <w:trHeight w:val="20" w:hRule="atLeast"/>
        </w:trPr>
        <w:tc>
          <w:tcPr>
            <w:tcW w:w="350" w:type="pct"/>
            <w:tcBorders>
              <w:top w:val="nil"/>
              <w:left w:val="single" w:color="auto" w:sz="4" w:space="0"/>
              <w:bottom w:val="single" w:color="auto" w:sz="4" w:space="0"/>
              <w:right w:val="single" w:color="auto" w:sz="4" w:space="0"/>
            </w:tcBorders>
            <w:vAlign w:val="center"/>
          </w:tcPr>
          <w:p w14:paraId="5E31D3E4">
            <w:pPr>
              <w:jc w:val="both"/>
              <w:rPr>
                <w:rFonts w:ascii="宋体" w:hAnsi="宋体" w:eastAsia="宋体" w:cs="宋体"/>
                <w:b/>
                <w:bCs/>
                <w:sz w:val="22"/>
                <w:szCs w:val="22"/>
              </w:rPr>
            </w:pPr>
            <w:r>
              <w:rPr>
                <w:rFonts w:hint="eastAsia" w:ascii="宋体" w:hAnsi="宋体" w:eastAsia="宋体" w:cs="宋体"/>
                <w:b/>
                <w:bCs/>
                <w:sz w:val="22"/>
                <w:szCs w:val="22"/>
              </w:rPr>
              <w:t>1</w:t>
            </w:r>
          </w:p>
        </w:tc>
        <w:tc>
          <w:tcPr>
            <w:tcW w:w="1100" w:type="pct"/>
            <w:tcBorders>
              <w:top w:val="nil"/>
              <w:left w:val="nil"/>
              <w:bottom w:val="single" w:color="auto" w:sz="4" w:space="0"/>
              <w:right w:val="single" w:color="auto" w:sz="4" w:space="0"/>
            </w:tcBorders>
            <w:vAlign w:val="center"/>
          </w:tcPr>
          <w:p w14:paraId="1757BC83">
            <w:pPr>
              <w:jc w:val="both"/>
              <w:rPr>
                <w:rFonts w:ascii="宋体" w:hAnsi="宋体" w:eastAsia="宋体" w:cs="宋体"/>
                <w:b/>
                <w:bCs/>
                <w:sz w:val="22"/>
                <w:szCs w:val="22"/>
              </w:rPr>
            </w:pPr>
            <w:r>
              <w:rPr>
                <w:rFonts w:hint="eastAsia" w:ascii="宋体" w:hAnsi="宋体" w:eastAsia="宋体" w:cs="宋体"/>
                <w:b/>
                <w:bCs/>
                <w:sz w:val="22"/>
                <w:szCs w:val="22"/>
              </w:rPr>
              <w:t>国产化数据库服务器-1</w:t>
            </w:r>
          </w:p>
        </w:tc>
        <w:tc>
          <w:tcPr>
            <w:tcW w:w="2819" w:type="pct"/>
            <w:tcBorders>
              <w:top w:val="nil"/>
              <w:left w:val="nil"/>
              <w:bottom w:val="single" w:color="auto" w:sz="4" w:space="0"/>
              <w:right w:val="single" w:color="auto" w:sz="4" w:space="0"/>
            </w:tcBorders>
            <w:vAlign w:val="center"/>
          </w:tcPr>
          <w:p w14:paraId="06918BE1">
            <w:pPr>
              <w:jc w:val="both"/>
              <w:rPr>
                <w:rFonts w:ascii="宋体" w:hAnsi="宋体" w:eastAsia="宋体" w:cs="宋体"/>
                <w:sz w:val="22"/>
                <w:szCs w:val="22"/>
              </w:rPr>
            </w:pPr>
            <w:r>
              <w:rPr>
                <w:rFonts w:hint="eastAsia" w:ascii="宋体" w:hAnsi="宋体" w:eastAsia="宋体" w:cs="宋体"/>
                <w:sz w:val="22"/>
                <w:szCs w:val="22"/>
              </w:rPr>
              <w:t>1、CPU：配置≥2颗C86-4G架构处理器（每CPU≥2.5GHz主频，≥32核，支持超线程）；</w:t>
            </w:r>
            <w:r>
              <w:rPr>
                <w:rFonts w:hint="eastAsia" w:ascii="宋体" w:hAnsi="宋体" w:eastAsia="宋体" w:cs="宋体"/>
                <w:sz w:val="22"/>
                <w:szCs w:val="22"/>
              </w:rPr>
              <w:br w:type="textWrapping"/>
            </w:r>
            <w:r>
              <w:rPr>
                <w:rFonts w:hint="eastAsia" w:ascii="宋体" w:hAnsi="宋体" w:eastAsia="宋体" w:cs="宋体"/>
                <w:sz w:val="22"/>
                <w:szCs w:val="22"/>
              </w:rPr>
              <w:t>2、内存：配置≥</w:t>
            </w:r>
            <w:r>
              <w:rPr>
                <w:rFonts w:hint="eastAsia" w:ascii="宋体" w:hAnsi="宋体" w:eastAsia="宋体" w:cs="宋体"/>
                <w:sz w:val="22"/>
                <w:szCs w:val="22"/>
                <w:lang w:eastAsia="zh-CN"/>
              </w:rPr>
              <w:t>8*64</w:t>
            </w:r>
            <w:r>
              <w:rPr>
                <w:rFonts w:hint="eastAsia" w:ascii="宋体" w:hAnsi="宋体" w:eastAsia="宋体" w:cs="宋体"/>
                <w:sz w:val="22"/>
                <w:szCs w:val="22"/>
              </w:rPr>
              <w:t>GB DDR5内存；整机可提供≥16个内存插槽；</w:t>
            </w:r>
            <w:r>
              <w:rPr>
                <w:rFonts w:hint="eastAsia" w:ascii="宋体" w:hAnsi="宋体" w:eastAsia="宋体" w:cs="宋体"/>
                <w:sz w:val="22"/>
                <w:szCs w:val="22"/>
              </w:rPr>
              <w:br w:type="textWrapping"/>
            </w:r>
            <w:r>
              <w:rPr>
                <w:rFonts w:hint="eastAsia" w:ascii="宋体" w:hAnsi="宋体" w:eastAsia="宋体" w:cs="宋体"/>
                <w:sz w:val="22"/>
                <w:szCs w:val="22"/>
              </w:rPr>
              <w:t>3、硬盘：配置≥2块960GB SSD硬盘；</w:t>
            </w:r>
            <w:r>
              <w:rPr>
                <w:rFonts w:hint="eastAsia" w:ascii="宋体" w:hAnsi="宋体" w:eastAsia="宋体" w:cs="宋体"/>
                <w:sz w:val="22"/>
                <w:szCs w:val="22"/>
              </w:rPr>
              <w:br w:type="textWrapping"/>
            </w:r>
            <w:r>
              <w:rPr>
                <w:rFonts w:hint="eastAsia" w:ascii="宋体" w:hAnsi="宋体" w:eastAsia="宋体" w:cs="宋体"/>
                <w:sz w:val="22"/>
                <w:szCs w:val="22"/>
              </w:rPr>
              <w:t>4、Raid卡：配置≥1块12Gb Raid卡，支持Raid0/1/10；</w:t>
            </w:r>
            <w:r>
              <w:rPr>
                <w:rFonts w:hint="eastAsia" w:ascii="宋体" w:hAnsi="宋体" w:eastAsia="宋体" w:cs="宋体"/>
                <w:sz w:val="22"/>
                <w:szCs w:val="22"/>
              </w:rPr>
              <w:br w:type="textWrapping"/>
            </w:r>
            <w:r>
              <w:rPr>
                <w:rFonts w:hint="eastAsia" w:ascii="宋体" w:hAnsi="宋体" w:eastAsia="宋体" w:cs="宋体"/>
                <w:sz w:val="22"/>
                <w:szCs w:val="22"/>
              </w:rPr>
              <w:t>5、网络端口：配置≥2*GE电口，≥4*10GE光口（含光模块），≥2块双端口32Gb HBA卡（含光模块）；</w:t>
            </w:r>
            <w:r>
              <w:rPr>
                <w:rFonts w:hint="eastAsia" w:ascii="宋体" w:hAnsi="宋体" w:eastAsia="宋体" w:cs="宋体"/>
                <w:sz w:val="22"/>
                <w:szCs w:val="22"/>
              </w:rPr>
              <w:br w:type="textWrapping"/>
            </w:r>
            <w:r>
              <w:rPr>
                <w:rFonts w:hint="eastAsia" w:ascii="宋体" w:hAnsi="宋体" w:eastAsia="宋体" w:cs="宋体"/>
                <w:sz w:val="22"/>
                <w:szCs w:val="22"/>
              </w:rPr>
              <w:t>6、电源：配置≥2个交流电源；</w:t>
            </w:r>
            <w:r>
              <w:rPr>
                <w:rFonts w:hint="eastAsia" w:ascii="宋体" w:hAnsi="宋体" w:eastAsia="宋体" w:cs="宋体"/>
                <w:sz w:val="22"/>
                <w:szCs w:val="22"/>
              </w:rPr>
              <w:br w:type="textWrapping"/>
            </w:r>
            <w:r>
              <w:rPr>
                <w:rFonts w:hint="eastAsia" w:ascii="宋体" w:hAnsi="宋体" w:eastAsia="宋体" w:cs="宋体"/>
                <w:sz w:val="22"/>
                <w:szCs w:val="22"/>
              </w:rPr>
              <w:t>7、管理：配置≥1个管理口，提供全面的故障诊断、运维和远程管理的功能；</w:t>
            </w:r>
            <w:r>
              <w:rPr>
                <w:rFonts w:hint="eastAsia" w:ascii="宋体" w:hAnsi="宋体" w:eastAsia="宋体" w:cs="宋体"/>
                <w:sz w:val="22"/>
                <w:szCs w:val="22"/>
              </w:rPr>
              <w:br w:type="textWrapping"/>
            </w:r>
            <w:r>
              <w:rPr>
                <w:rFonts w:hint="eastAsia" w:ascii="宋体" w:hAnsi="宋体" w:eastAsia="宋体" w:cs="宋体"/>
                <w:sz w:val="22"/>
                <w:szCs w:val="22"/>
              </w:rPr>
              <w:t>8、提供</w:t>
            </w:r>
            <w:r>
              <w:rPr>
                <w:rFonts w:hint="eastAsia" w:ascii="宋体" w:hAnsi="宋体" w:eastAsia="宋体" w:cs="宋体"/>
                <w:sz w:val="22"/>
                <w:szCs w:val="22"/>
                <w:lang w:eastAsia="zh-CN"/>
              </w:rPr>
              <w:t>5年原厂维保服务</w:t>
            </w:r>
            <w:r>
              <w:rPr>
                <w:rFonts w:hint="eastAsia" w:ascii="宋体" w:hAnsi="宋体" w:eastAsia="宋体" w:cs="宋体"/>
                <w:sz w:val="22"/>
                <w:szCs w:val="22"/>
              </w:rPr>
              <w:t>；</w:t>
            </w:r>
          </w:p>
          <w:p w14:paraId="2C38E5E3">
            <w:pPr>
              <w:jc w:val="both"/>
              <w:rPr>
                <w:rFonts w:ascii="宋体" w:hAnsi="宋体" w:eastAsia="宋体" w:cs="宋体"/>
                <w:sz w:val="22"/>
                <w:szCs w:val="22"/>
              </w:rPr>
            </w:pPr>
            <w:r>
              <w:rPr>
                <w:rFonts w:hint="eastAsia" w:ascii="宋体" w:hAnsi="宋体" w:eastAsia="宋体" w:cs="宋体"/>
                <w:sz w:val="22"/>
                <w:szCs w:val="22"/>
              </w:rPr>
              <w:t>9、须包含接入到现网国产虚拟化平台的软件授权，实现资源统一管理，无须新建虚拟化平台；</w:t>
            </w:r>
          </w:p>
        </w:tc>
        <w:tc>
          <w:tcPr>
            <w:tcW w:w="731" w:type="pct"/>
            <w:tcBorders>
              <w:top w:val="nil"/>
              <w:left w:val="nil"/>
              <w:bottom w:val="single" w:color="auto" w:sz="4" w:space="0"/>
              <w:right w:val="single" w:color="auto" w:sz="4" w:space="0"/>
            </w:tcBorders>
            <w:vAlign w:val="center"/>
          </w:tcPr>
          <w:p w14:paraId="5B40D9A4">
            <w:pPr>
              <w:jc w:val="both"/>
              <w:rPr>
                <w:rFonts w:ascii="宋体" w:hAnsi="宋体" w:eastAsia="宋体" w:cs="宋体"/>
                <w:sz w:val="22"/>
                <w:szCs w:val="22"/>
              </w:rPr>
            </w:pPr>
            <w:r>
              <w:rPr>
                <w:rFonts w:hint="eastAsia" w:ascii="宋体" w:hAnsi="宋体" w:eastAsia="宋体" w:cs="宋体"/>
                <w:sz w:val="22"/>
                <w:szCs w:val="22"/>
              </w:rPr>
              <w:t>2台</w:t>
            </w:r>
          </w:p>
        </w:tc>
      </w:tr>
      <w:tr w14:paraId="609E5A08">
        <w:tblPrEx>
          <w:tblCellMar>
            <w:top w:w="0" w:type="dxa"/>
            <w:left w:w="108" w:type="dxa"/>
            <w:bottom w:w="0" w:type="dxa"/>
            <w:right w:w="108" w:type="dxa"/>
          </w:tblCellMar>
        </w:tblPrEx>
        <w:trPr>
          <w:trHeight w:val="20" w:hRule="atLeast"/>
        </w:trPr>
        <w:tc>
          <w:tcPr>
            <w:tcW w:w="350" w:type="pct"/>
            <w:tcBorders>
              <w:top w:val="nil"/>
              <w:left w:val="single" w:color="auto" w:sz="4" w:space="0"/>
              <w:bottom w:val="single" w:color="auto" w:sz="4" w:space="0"/>
              <w:right w:val="single" w:color="auto" w:sz="4" w:space="0"/>
            </w:tcBorders>
            <w:vAlign w:val="center"/>
          </w:tcPr>
          <w:p w14:paraId="79CE1FCF">
            <w:pPr>
              <w:jc w:val="both"/>
              <w:rPr>
                <w:rFonts w:ascii="宋体" w:hAnsi="宋体" w:eastAsia="宋体" w:cs="宋体"/>
                <w:b/>
                <w:bCs/>
                <w:sz w:val="22"/>
                <w:szCs w:val="22"/>
              </w:rPr>
            </w:pPr>
            <w:r>
              <w:rPr>
                <w:rFonts w:hint="eastAsia" w:ascii="宋体" w:hAnsi="宋体" w:eastAsia="宋体" w:cs="宋体"/>
                <w:b/>
                <w:bCs/>
                <w:sz w:val="22"/>
                <w:szCs w:val="22"/>
              </w:rPr>
              <w:t>2</w:t>
            </w:r>
          </w:p>
        </w:tc>
        <w:tc>
          <w:tcPr>
            <w:tcW w:w="1100" w:type="pct"/>
            <w:tcBorders>
              <w:top w:val="nil"/>
              <w:left w:val="nil"/>
              <w:bottom w:val="single" w:color="auto" w:sz="4" w:space="0"/>
              <w:right w:val="single" w:color="auto" w:sz="4" w:space="0"/>
            </w:tcBorders>
            <w:vAlign w:val="center"/>
          </w:tcPr>
          <w:p w14:paraId="0B64694C">
            <w:pPr>
              <w:jc w:val="both"/>
              <w:rPr>
                <w:rFonts w:ascii="宋体" w:hAnsi="宋体" w:eastAsia="宋体" w:cs="宋体"/>
                <w:b/>
                <w:bCs/>
                <w:sz w:val="22"/>
                <w:szCs w:val="22"/>
              </w:rPr>
            </w:pPr>
            <w:r>
              <w:rPr>
                <w:rFonts w:hint="eastAsia" w:ascii="宋体" w:hAnsi="宋体" w:eastAsia="宋体" w:cs="宋体"/>
                <w:b/>
                <w:bCs/>
                <w:sz w:val="22"/>
                <w:szCs w:val="22"/>
              </w:rPr>
              <w:t>国产化数据库服务器-2</w:t>
            </w:r>
          </w:p>
        </w:tc>
        <w:tc>
          <w:tcPr>
            <w:tcW w:w="2819" w:type="pct"/>
            <w:tcBorders>
              <w:top w:val="nil"/>
              <w:left w:val="nil"/>
              <w:bottom w:val="single" w:color="auto" w:sz="4" w:space="0"/>
              <w:right w:val="single" w:color="auto" w:sz="4" w:space="0"/>
            </w:tcBorders>
            <w:vAlign w:val="center"/>
          </w:tcPr>
          <w:p w14:paraId="6188EA36">
            <w:pPr>
              <w:jc w:val="both"/>
              <w:rPr>
                <w:rFonts w:ascii="宋体" w:hAnsi="宋体" w:eastAsia="宋体" w:cs="宋体"/>
                <w:sz w:val="22"/>
                <w:szCs w:val="22"/>
              </w:rPr>
            </w:pPr>
            <w:r>
              <w:rPr>
                <w:rFonts w:hint="eastAsia" w:ascii="宋体" w:hAnsi="宋体" w:eastAsia="宋体" w:cs="宋体"/>
                <w:sz w:val="22"/>
                <w:szCs w:val="22"/>
              </w:rPr>
              <w:t>1、CPU：配置≥2颗ARM架构处理器（每CPU≥2.6GHz主频，≥32核，支持超线程）；</w:t>
            </w:r>
            <w:r>
              <w:rPr>
                <w:rFonts w:hint="eastAsia" w:ascii="宋体" w:hAnsi="宋体" w:eastAsia="宋体" w:cs="宋体"/>
                <w:sz w:val="22"/>
                <w:szCs w:val="22"/>
              </w:rPr>
              <w:br w:type="textWrapping"/>
            </w:r>
            <w:r>
              <w:rPr>
                <w:rFonts w:hint="eastAsia" w:ascii="宋体" w:hAnsi="宋体" w:eastAsia="宋体" w:cs="宋体"/>
                <w:sz w:val="22"/>
                <w:szCs w:val="22"/>
              </w:rPr>
              <w:t>2、内存：配置≥</w:t>
            </w:r>
            <w:r>
              <w:rPr>
                <w:rFonts w:hint="eastAsia" w:ascii="宋体" w:hAnsi="宋体" w:eastAsia="宋体" w:cs="宋体"/>
                <w:sz w:val="22"/>
                <w:szCs w:val="22"/>
                <w:lang w:eastAsia="zh-CN"/>
              </w:rPr>
              <w:t>8*64</w:t>
            </w:r>
            <w:r>
              <w:rPr>
                <w:rFonts w:hint="eastAsia" w:ascii="宋体" w:hAnsi="宋体" w:eastAsia="宋体" w:cs="宋体"/>
                <w:sz w:val="22"/>
                <w:szCs w:val="22"/>
              </w:rPr>
              <w:t>GB DDR5内存；整机可提供≥16个内存插槽；</w:t>
            </w:r>
            <w:r>
              <w:rPr>
                <w:rFonts w:hint="eastAsia" w:ascii="宋体" w:hAnsi="宋体" w:eastAsia="宋体" w:cs="宋体"/>
                <w:sz w:val="22"/>
                <w:szCs w:val="22"/>
              </w:rPr>
              <w:br w:type="textWrapping"/>
            </w:r>
            <w:r>
              <w:rPr>
                <w:rFonts w:hint="eastAsia" w:ascii="宋体" w:hAnsi="宋体" w:eastAsia="宋体" w:cs="宋体"/>
                <w:sz w:val="22"/>
                <w:szCs w:val="22"/>
              </w:rPr>
              <w:t>3、硬盘：配置≥2块960GB SSD硬盘；</w:t>
            </w:r>
            <w:r>
              <w:rPr>
                <w:rFonts w:hint="eastAsia" w:ascii="宋体" w:hAnsi="宋体" w:eastAsia="宋体" w:cs="宋体"/>
                <w:sz w:val="22"/>
                <w:szCs w:val="22"/>
              </w:rPr>
              <w:br w:type="textWrapping"/>
            </w:r>
            <w:r>
              <w:rPr>
                <w:rFonts w:hint="eastAsia" w:ascii="宋体" w:hAnsi="宋体" w:eastAsia="宋体" w:cs="宋体"/>
                <w:sz w:val="22"/>
                <w:szCs w:val="22"/>
              </w:rPr>
              <w:t>4、Raid卡：配置≥1块12Gb Raid卡，支持Raid0/1/10；</w:t>
            </w:r>
            <w:r>
              <w:rPr>
                <w:rFonts w:hint="eastAsia" w:ascii="宋体" w:hAnsi="宋体" w:eastAsia="宋体" w:cs="宋体"/>
                <w:sz w:val="22"/>
                <w:szCs w:val="22"/>
              </w:rPr>
              <w:br w:type="textWrapping"/>
            </w:r>
            <w:r>
              <w:rPr>
                <w:rFonts w:hint="eastAsia" w:ascii="宋体" w:hAnsi="宋体" w:eastAsia="宋体" w:cs="宋体"/>
                <w:sz w:val="22"/>
                <w:szCs w:val="22"/>
              </w:rPr>
              <w:t>5、网络端口：配置≥4*GE电口，≥4*10GE光口（含光模块），≥2块双端口32Gb HBA卡（含光模块）；</w:t>
            </w:r>
            <w:r>
              <w:rPr>
                <w:rFonts w:hint="eastAsia" w:ascii="宋体" w:hAnsi="宋体" w:eastAsia="宋体" w:cs="宋体"/>
                <w:sz w:val="22"/>
                <w:szCs w:val="22"/>
              </w:rPr>
              <w:br w:type="textWrapping"/>
            </w:r>
            <w:r>
              <w:rPr>
                <w:rFonts w:hint="eastAsia" w:ascii="宋体" w:hAnsi="宋体" w:eastAsia="宋体" w:cs="宋体"/>
                <w:sz w:val="22"/>
                <w:szCs w:val="22"/>
              </w:rPr>
              <w:t>6、电源：配置≥2个交流电源；</w:t>
            </w:r>
            <w:r>
              <w:rPr>
                <w:rFonts w:hint="eastAsia" w:ascii="宋体" w:hAnsi="宋体" w:eastAsia="宋体" w:cs="宋体"/>
                <w:sz w:val="22"/>
                <w:szCs w:val="22"/>
              </w:rPr>
              <w:br w:type="textWrapping"/>
            </w:r>
            <w:r>
              <w:rPr>
                <w:rFonts w:hint="eastAsia" w:ascii="宋体" w:hAnsi="宋体" w:eastAsia="宋体" w:cs="宋体"/>
                <w:sz w:val="22"/>
                <w:szCs w:val="22"/>
              </w:rPr>
              <w:t>7、管理：配置≥1个管理口，提供全面的故障诊断、运维和远程管理的功能；</w:t>
            </w:r>
            <w:r>
              <w:rPr>
                <w:rFonts w:hint="eastAsia" w:ascii="宋体" w:hAnsi="宋体" w:eastAsia="宋体" w:cs="宋体"/>
                <w:sz w:val="22"/>
                <w:szCs w:val="22"/>
              </w:rPr>
              <w:br w:type="textWrapping"/>
            </w:r>
            <w:r>
              <w:rPr>
                <w:rFonts w:hint="eastAsia" w:ascii="宋体" w:hAnsi="宋体" w:eastAsia="宋体" w:cs="宋体"/>
                <w:sz w:val="22"/>
                <w:szCs w:val="22"/>
              </w:rPr>
              <w:t>8、提供</w:t>
            </w:r>
            <w:r>
              <w:rPr>
                <w:rFonts w:hint="eastAsia" w:ascii="宋体" w:hAnsi="宋体" w:eastAsia="宋体" w:cs="宋体"/>
                <w:sz w:val="22"/>
                <w:szCs w:val="22"/>
                <w:lang w:eastAsia="zh-CN"/>
              </w:rPr>
              <w:t>5年原厂维保服务</w:t>
            </w:r>
            <w:r>
              <w:rPr>
                <w:rFonts w:hint="eastAsia" w:ascii="宋体" w:hAnsi="宋体" w:eastAsia="宋体" w:cs="宋体"/>
                <w:sz w:val="22"/>
                <w:szCs w:val="22"/>
              </w:rPr>
              <w:t>；</w:t>
            </w:r>
          </w:p>
          <w:p w14:paraId="5A5AEB04">
            <w:pPr>
              <w:jc w:val="both"/>
              <w:rPr>
                <w:rFonts w:ascii="宋体" w:hAnsi="宋体" w:eastAsia="宋体" w:cs="宋体"/>
                <w:sz w:val="22"/>
                <w:szCs w:val="22"/>
              </w:rPr>
            </w:pPr>
            <w:r>
              <w:rPr>
                <w:rFonts w:hint="eastAsia" w:ascii="宋体" w:hAnsi="宋体" w:eastAsia="宋体" w:cs="宋体"/>
                <w:sz w:val="22"/>
                <w:szCs w:val="22"/>
              </w:rPr>
              <w:t>9、须包含接入到现网国产虚拟化平台的软件授权，实现资源统一管理，无须新建虚拟化平台；</w:t>
            </w:r>
          </w:p>
        </w:tc>
        <w:tc>
          <w:tcPr>
            <w:tcW w:w="731" w:type="pct"/>
            <w:tcBorders>
              <w:top w:val="nil"/>
              <w:left w:val="nil"/>
              <w:bottom w:val="single" w:color="auto" w:sz="4" w:space="0"/>
              <w:right w:val="single" w:color="auto" w:sz="4" w:space="0"/>
            </w:tcBorders>
            <w:vAlign w:val="center"/>
          </w:tcPr>
          <w:p w14:paraId="20253A65">
            <w:pPr>
              <w:jc w:val="both"/>
              <w:rPr>
                <w:rFonts w:ascii="宋体" w:hAnsi="宋体" w:eastAsia="宋体" w:cs="宋体"/>
                <w:sz w:val="22"/>
                <w:szCs w:val="22"/>
              </w:rPr>
            </w:pPr>
            <w:r>
              <w:rPr>
                <w:rFonts w:hint="eastAsia" w:ascii="宋体" w:hAnsi="宋体" w:eastAsia="宋体" w:cs="宋体"/>
                <w:sz w:val="22"/>
                <w:szCs w:val="22"/>
              </w:rPr>
              <w:t>3台</w:t>
            </w:r>
          </w:p>
        </w:tc>
      </w:tr>
      <w:tr w14:paraId="781E8DE9">
        <w:tblPrEx>
          <w:tblCellMar>
            <w:top w:w="0" w:type="dxa"/>
            <w:left w:w="108" w:type="dxa"/>
            <w:bottom w:w="0" w:type="dxa"/>
            <w:right w:w="108" w:type="dxa"/>
          </w:tblCellMar>
        </w:tblPrEx>
        <w:trPr>
          <w:trHeight w:val="20" w:hRule="atLeast"/>
        </w:trPr>
        <w:tc>
          <w:tcPr>
            <w:tcW w:w="350" w:type="pct"/>
            <w:tcBorders>
              <w:top w:val="nil"/>
              <w:left w:val="single" w:color="auto" w:sz="4" w:space="0"/>
              <w:bottom w:val="single" w:color="auto" w:sz="4" w:space="0"/>
              <w:right w:val="single" w:color="auto" w:sz="4" w:space="0"/>
            </w:tcBorders>
            <w:vAlign w:val="center"/>
          </w:tcPr>
          <w:p w14:paraId="01B5CCE7">
            <w:pPr>
              <w:jc w:val="both"/>
              <w:rPr>
                <w:rFonts w:ascii="宋体" w:hAnsi="宋体" w:eastAsia="宋体" w:cs="宋体"/>
                <w:b/>
                <w:bCs/>
                <w:sz w:val="22"/>
                <w:szCs w:val="22"/>
              </w:rPr>
            </w:pPr>
            <w:r>
              <w:rPr>
                <w:rFonts w:hint="eastAsia" w:ascii="宋体" w:hAnsi="宋体" w:eastAsia="宋体" w:cs="宋体"/>
                <w:b/>
                <w:bCs/>
                <w:sz w:val="22"/>
                <w:szCs w:val="22"/>
              </w:rPr>
              <w:t>3</w:t>
            </w:r>
          </w:p>
        </w:tc>
        <w:tc>
          <w:tcPr>
            <w:tcW w:w="1100" w:type="pct"/>
            <w:tcBorders>
              <w:top w:val="nil"/>
              <w:left w:val="nil"/>
              <w:bottom w:val="single" w:color="auto" w:sz="4" w:space="0"/>
              <w:right w:val="single" w:color="auto" w:sz="4" w:space="0"/>
            </w:tcBorders>
            <w:vAlign w:val="center"/>
          </w:tcPr>
          <w:p w14:paraId="2F71754A">
            <w:pPr>
              <w:jc w:val="both"/>
              <w:rPr>
                <w:rFonts w:ascii="宋体" w:hAnsi="宋体" w:eastAsia="宋体" w:cs="宋体"/>
                <w:b/>
                <w:bCs/>
                <w:sz w:val="22"/>
                <w:szCs w:val="22"/>
              </w:rPr>
            </w:pPr>
            <w:r>
              <w:rPr>
                <w:rFonts w:hint="eastAsia" w:ascii="宋体" w:hAnsi="宋体" w:eastAsia="宋体" w:cs="宋体"/>
                <w:b/>
                <w:bCs/>
                <w:sz w:val="22"/>
                <w:szCs w:val="22"/>
              </w:rPr>
              <w:t>国产化应用服务器</w:t>
            </w:r>
          </w:p>
        </w:tc>
        <w:tc>
          <w:tcPr>
            <w:tcW w:w="2819" w:type="pct"/>
            <w:tcBorders>
              <w:top w:val="nil"/>
              <w:left w:val="nil"/>
              <w:bottom w:val="single" w:color="auto" w:sz="4" w:space="0"/>
              <w:right w:val="single" w:color="auto" w:sz="4" w:space="0"/>
            </w:tcBorders>
            <w:vAlign w:val="center"/>
          </w:tcPr>
          <w:p w14:paraId="72277EE9">
            <w:pPr>
              <w:jc w:val="both"/>
              <w:rPr>
                <w:rFonts w:ascii="宋体" w:hAnsi="宋体" w:eastAsia="宋体" w:cs="宋体"/>
                <w:sz w:val="22"/>
                <w:szCs w:val="22"/>
              </w:rPr>
            </w:pPr>
            <w:r>
              <w:rPr>
                <w:rFonts w:hint="eastAsia" w:ascii="宋体" w:hAnsi="宋体" w:eastAsia="宋体" w:cs="宋体"/>
                <w:sz w:val="22"/>
                <w:szCs w:val="22"/>
              </w:rPr>
              <w:t>1、CPU：配置≥2颗ARM架构处理器（每CPU≥2.6GHz主频，≥32核，支持超线程）；</w:t>
            </w:r>
            <w:r>
              <w:rPr>
                <w:rFonts w:hint="eastAsia" w:ascii="宋体" w:hAnsi="宋体" w:eastAsia="宋体" w:cs="宋体"/>
                <w:sz w:val="22"/>
                <w:szCs w:val="22"/>
              </w:rPr>
              <w:br w:type="textWrapping"/>
            </w:r>
            <w:r>
              <w:rPr>
                <w:rFonts w:hint="eastAsia" w:ascii="宋体" w:hAnsi="宋体" w:eastAsia="宋体" w:cs="宋体"/>
                <w:sz w:val="22"/>
                <w:szCs w:val="22"/>
              </w:rPr>
              <w:t>2、内存：配置≥</w:t>
            </w:r>
            <w:r>
              <w:rPr>
                <w:rFonts w:hint="eastAsia" w:ascii="宋体" w:hAnsi="宋体" w:eastAsia="宋体" w:cs="宋体"/>
                <w:sz w:val="22"/>
                <w:szCs w:val="22"/>
                <w:lang w:eastAsia="zh-CN"/>
              </w:rPr>
              <w:t>8*64</w:t>
            </w:r>
            <w:r>
              <w:rPr>
                <w:rFonts w:hint="eastAsia" w:ascii="宋体" w:hAnsi="宋体" w:eastAsia="宋体" w:cs="宋体"/>
                <w:sz w:val="22"/>
                <w:szCs w:val="22"/>
              </w:rPr>
              <w:t>GB DDR5内存；整机可提供≥16个内存插槽；</w:t>
            </w:r>
            <w:r>
              <w:rPr>
                <w:rFonts w:hint="eastAsia" w:ascii="宋体" w:hAnsi="宋体" w:eastAsia="宋体" w:cs="宋体"/>
                <w:sz w:val="22"/>
                <w:szCs w:val="22"/>
              </w:rPr>
              <w:br w:type="textWrapping"/>
            </w:r>
            <w:r>
              <w:rPr>
                <w:rFonts w:hint="eastAsia" w:ascii="宋体" w:hAnsi="宋体" w:eastAsia="宋体" w:cs="宋体"/>
                <w:sz w:val="22"/>
                <w:szCs w:val="22"/>
              </w:rPr>
              <w:t>3、硬盘：配置≥2块960GB SSD硬盘；</w:t>
            </w:r>
            <w:r>
              <w:rPr>
                <w:rFonts w:hint="eastAsia" w:ascii="宋体" w:hAnsi="宋体" w:eastAsia="宋体" w:cs="宋体"/>
                <w:sz w:val="22"/>
                <w:szCs w:val="22"/>
              </w:rPr>
              <w:br w:type="textWrapping"/>
            </w:r>
            <w:r>
              <w:rPr>
                <w:rFonts w:hint="eastAsia" w:ascii="宋体" w:hAnsi="宋体" w:eastAsia="宋体" w:cs="宋体"/>
                <w:sz w:val="22"/>
                <w:szCs w:val="22"/>
              </w:rPr>
              <w:t>4、Raid卡：配置≥1块12Gb Raid卡，支持Raid0/1/10；</w:t>
            </w:r>
            <w:r>
              <w:rPr>
                <w:rFonts w:hint="eastAsia" w:ascii="宋体" w:hAnsi="宋体" w:eastAsia="宋体" w:cs="宋体"/>
                <w:sz w:val="22"/>
                <w:szCs w:val="22"/>
              </w:rPr>
              <w:br w:type="textWrapping"/>
            </w:r>
            <w:r>
              <w:rPr>
                <w:rFonts w:hint="eastAsia" w:ascii="宋体" w:hAnsi="宋体" w:eastAsia="宋体" w:cs="宋体"/>
                <w:sz w:val="22"/>
                <w:szCs w:val="22"/>
              </w:rPr>
              <w:t>5、网络端口：配置≥4*GE电口，≥4*10GE光口（含光模块），≥2块双端口32Gb HBA卡（含光模块）；</w:t>
            </w:r>
            <w:r>
              <w:rPr>
                <w:rFonts w:hint="eastAsia" w:ascii="宋体" w:hAnsi="宋体" w:eastAsia="宋体" w:cs="宋体"/>
                <w:sz w:val="22"/>
                <w:szCs w:val="22"/>
              </w:rPr>
              <w:br w:type="textWrapping"/>
            </w:r>
            <w:r>
              <w:rPr>
                <w:rFonts w:hint="eastAsia" w:ascii="宋体" w:hAnsi="宋体" w:eastAsia="宋体" w:cs="宋体"/>
                <w:sz w:val="22"/>
                <w:szCs w:val="22"/>
              </w:rPr>
              <w:t>6、电源：配置≥2个交流电源；</w:t>
            </w:r>
            <w:r>
              <w:rPr>
                <w:rFonts w:hint="eastAsia" w:ascii="宋体" w:hAnsi="宋体" w:eastAsia="宋体" w:cs="宋体"/>
                <w:sz w:val="22"/>
                <w:szCs w:val="22"/>
              </w:rPr>
              <w:br w:type="textWrapping"/>
            </w:r>
            <w:r>
              <w:rPr>
                <w:rFonts w:hint="eastAsia" w:ascii="宋体" w:hAnsi="宋体" w:eastAsia="宋体" w:cs="宋体"/>
                <w:sz w:val="22"/>
                <w:szCs w:val="22"/>
              </w:rPr>
              <w:t>7、管理：配置≥1个管理口，提供全面的故障诊断、运维和远程管理的功能；</w:t>
            </w:r>
            <w:r>
              <w:rPr>
                <w:rFonts w:hint="eastAsia" w:ascii="宋体" w:hAnsi="宋体" w:eastAsia="宋体" w:cs="宋体"/>
                <w:sz w:val="22"/>
                <w:szCs w:val="22"/>
              </w:rPr>
              <w:br w:type="textWrapping"/>
            </w:r>
            <w:r>
              <w:rPr>
                <w:rFonts w:hint="eastAsia" w:ascii="宋体" w:hAnsi="宋体" w:eastAsia="宋体" w:cs="宋体"/>
                <w:sz w:val="22"/>
                <w:szCs w:val="22"/>
              </w:rPr>
              <w:t>8、提供</w:t>
            </w:r>
            <w:r>
              <w:rPr>
                <w:rFonts w:hint="eastAsia" w:ascii="宋体" w:hAnsi="宋体" w:eastAsia="宋体" w:cs="宋体"/>
                <w:sz w:val="22"/>
                <w:szCs w:val="22"/>
                <w:lang w:eastAsia="zh-CN"/>
              </w:rPr>
              <w:t>5年原厂维保服务</w:t>
            </w:r>
            <w:r>
              <w:rPr>
                <w:rFonts w:hint="eastAsia" w:ascii="宋体" w:hAnsi="宋体" w:eastAsia="宋体" w:cs="宋体"/>
                <w:sz w:val="22"/>
                <w:szCs w:val="22"/>
              </w:rPr>
              <w:t>；</w:t>
            </w:r>
          </w:p>
          <w:p w14:paraId="3636883C">
            <w:pPr>
              <w:jc w:val="both"/>
              <w:rPr>
                <w:rFonts w:ascii="宋体" w:hAnsi="宋体" w:eastAsia="宋体" w:cs="宋体"/>
                <w:sz w:val="22"/>
                <w:szCs w:val="22"/>
              </w:rPr>
            </w:pPr>
            <w:r>
              <w:rPr>
                <w:rFonts w:hint="eastAsia" w:ascii="宋体" w:hAnsi="宋体" w:eastAsia="宋体" w:cs="宋体"/>
                <w:sz w:val="22"/>
                <w:szCs w:val="22"/>
              </w:rPr>
              <w:t>9、须包含接入到现网国产虚拟化平台的软件授权，实现资源统一管理，无须新建虚拟化平台；</w:t>
            </w:r>
          </w:p>
        </w:tc>
        <w:tc>
          <w:tcPr>
            <w:tcW w:w="731" w:type="pct"/>
            <w:tcBorders>
              <w:top w:val="nil"/>
              <w:left w:val="nil"/>
              <w:bottom w:val="single" w:color="auto" w:sz="4" w:space="0"/>
              <w:right w:val="single" w:color="auto" w:sz="4" w:space="0"/>
            </w:tcBorders>
            <w:vAlign w:val="center"/>
          </w:tcPr>
          <w:p w14:paraId="06BD628C">
            <w:pPr>
              <w:jc w:val="both"/>
              <w:rPr>
                <w:rFonts w:ascii="宋体" w:hAnsi="宋体" w:eastAsia="宋体" w:cs="宋体"/>
                <w:sz w:val="22"/>
                <w:szCs w:val="22"/>
              </w:rPr>
            </w:pPr>
            <w:r>
              <w:rPr>
                <w:rFonts w:hint="eastAsia" w:ascii="宋体" w:hAnsi="宋体" w:eastAsia="宋体" w:cs="宋体"/>
                <w:sz w:val="22"/>
                <w:szCs w:val="22"/>
              </w:rPr>
              <w:t>5台</w:t>
            </w:r>
          </w:p>
        </w:tc>
      </w:tr>
    </w:tbl>
    <w:p w14:paraId="49C8E32C">
      <w:pPr>
        <w:numPr>
          <w:ilvl w:val="0"/>
          <w:numId w:val="0"/>
        </w:numPr>
        <w:spacing w:line="360" w:lineRule="auto"/>
        <w:rPr>
          <w:rFonts w:hint="eastAsia"/>
          <w:sz w:val="28"/>
          <w:szCs w:val="28"/>
        </w:rPr>
      </w:pPr>
    </w:p>
    <w:p w14:paraId="28A81726">
      <w:pPr>
        <w:numPr>
          <w:ilvl w:val="0"/>
          <w:numId w:val="0"/>
        </w:numPr>
        <w:spacing w:line="360" w:lineRule="auto"/>
        <w:rPr>
          <w:rFonts w:hint="eastAsia"/>
          <w:sz w:val="28"/>
          <w:szCs w:val="28"/>
        </w:rPr>
      </w:pPr>
    </w:p>
    <w:p w14:paraId="7B032CD0">
      <w:pPr>
        <w:numPr>
          <w:ilvl w:val="0"/>
          <w:numId w:val="0"/>
        </w:numPr>
        <w:spacing w:line="360" w:lineRule="auto"/>
        <w:rPr>
          <w:rFonts w:hint="eastAsia"/>
          <w:sz w:val="28"/>
          <w:szCs w:val="28"/>
        </w:rPr>
      </w:pPr>
    </w:p>
    <w:p w14:paraId="2DE846D4">
      <w:pPr>
        <w:numPr>
          <w:ilvl w:val="0"/>
          <w:numId w:val="0"/>
        </w:numPr>
        <w:spacing w:line="360" w:lineRule="auto"/>
        <w:rPr>
          <w:rFonts w:hint="eastAsia"/>
          <w:sz w:val="28"/>
          <w:szCs w:val="28"/>
        </w:rPr>
      </w:pPr>
    </w:p>
    <w:p w14:paraId="5F2DC2F2">
      <w:pPr>
        <w:spacing w:line="360" w:lineRule="auto"/>
        <w:rPr>
          <w:sz w:val="28"/>
          <w:szCs w:val="28"/>
        </w:rPr>
      </w:pPr>
      <w:r>
        <w:rPr>
          <w:rFonts w:hint="eastAsia"/>
          <w:b/>
          <w:bCs/>
          <w:sz w:val="28"/>
          <w:szCs w:val="28"/>
          <w:lang w:val="en-US" w:eastAsia="zh-CN"/>
        </w:rPr>
        <w:t>二</w:t>
      </w:r>
      <w:r>
        <w:rPr>
          <w:rFonts w:hint="eastAsia"/>
          <w:b/>
          <w:bCs/>
          <w:sz w:val="28"/>
          <w:szCs w:val="28"/>
        </w:rPr>
        <w:t>、其他要求</w:t>
      </w:r>
    </w:p>
    <w:p w14:paraId="2F4CA90C">
      <w:pPr>
        <w:spacing w:line="360" w:lineRule="auto"/>
        <w:rPr>
          <w:sz w:val="28"/>
          <w:szCs w:val="28"/>
        </w:rPr>
      </w:pPr>
      <w:r>
        <w:rPr>
          <w:rFonts w:hint="eastAsia"/>
          <w:sz w:val="28"/>
          <w:szCs w:val="28"/>
        </w:rPr>
        <w:t>1、本项目实施主要包含：各硬件设备上架、软硬件安装调试、系统集成以及涉及相关虚拟机迁移、变更工作；</w:t>
      </w:r>
    </w:p>
    <w:p w14:paraId="799CA3AA">
      <w:pPr>
        <w:spacing w:line="360" w:lineRule="auto"/>
        <w:rPr>
          <w:sz w:val="28"/>
          <w:szCs w:val="28"/>
        </w:rPr>
      </w:pPr>
      <w:r>
        <w:rPr>
          <w:rFonts w:hint="eastAsia"/>
          <w:sz w:val="28"/>
          <w:szCs w:val="28"/>
        </w:rPr>
        <w:t>2、本预算价包含设备价格、实施费用（含相关光纤辅材，机柜整理及设备接地服务）、集成费用及约定保修期内的维修及服务费用等，本预算价为含税开票价格。</w:t>
      </w:r>
    </w:p>
    <w:p w14:paraId="670707D3">
      <w:pPr>
        <w:spacing w:line="360" w:lineRule="auto"/>
        <w:rPr>
          <w:sz w:val="28"/>
          <w:szCs w:val="28"/>
        </w:rPr>
      </w:pPr>
    </w:p>
    <w:p w14:paraId="13C40D03">
      <w:pPr>
        <w:spacing w:line="360" w:lineRule="auto"/>
        <w:rPr>
          <w:sz w:val="28"/>
          <w:szCs w:val="28"/>
        </w:rPr>
      </w:pPr>
      <w:r>
        <w:rPr>
          <w:rFonts w:hint="eastAsia"/>
          <w:b/>
          <w:bCs/>
          <w:sz w:val="28"/>
          <w:szCs w:val="28"/>
          <w:lang w:val="en-US" w:eastAsia="zh-CN"/>
        </w:rPr>
        <w:t>三</w:t>
      </w:r>
      <w:r>
        <w:rPr>
          <w:rFonts w:hint="eastAsia"/>
          <w:b/>
          <w:bCs/>
          <w:sz w:val="28"/>
          <w:szCs w:val="28"/>
        </w:rPr>
        <w:t>、调研说明</w:t>
      </w:r>
    </w:p>
    <w:p w14:paraId="6333DA05">
      <w:pPr>
        <w:spacing w:line="360" w:lineRule="auto"/>
        <w:rPr>
          <w:sz w:val="28"/>
          <w:szCs w:val="28"/>
        </w:rPr>
      </w:pPr>
      <w:r>
        <w:rPr>
          <w:rFonts w:hint="eastAsia"/>
          <w:sz w:val="28"/>
          <w:szCs w:val="28"/>
        </w:rPr>
        <w:t>报名参加本次调研的供应商、厂家需提供如下相关资料。</w:t>
      </w:r>
    </w:p>
    <w:p w14:paraId="694DB26D">
      <w:pPr>
        <w:numPr>
          <w:ilvl w:val="0"/>
          <w:numId w:val="2"/>
        </w:numPr>
        <w:spacing w:line="360" w:lineRule="auto"/>
        <w:rPr>
          <w:rFonts w:hint="eastAsia"/>
          <w:sz w:val="28"/>
          <w:szCs w:val="28"/>
        </w:rPr>
      </w:pPr>
      <w:r>
        <w:rPr>
          <w:rFonts w:hint="eastAsia"/>
          <w:sz w:val="28"/>
          <w:szCs w:val="28"/>
        </w:rPr>
        <w:t>报名时请携带加盖公章的项目文件回执单、营业执照复印件、公司简介（可含提供设备彩页等）</w:t>
      </w:r>
      <w:r>
        <w:rPr>
          <w:rFonts w:hint="eastAsia"/>
          <w:sz w:val="28"/>
          <w:szCs w:val="28"/>
          <w:lang w:eastAsia="zh-CN"/>
        </w:rPr>
        <w:t>、</w:t>
      </w:r>
      <w:r>
        <w:rPr>
          <w:rFonts w:hint="eastAsia"/>
          <w:sz w:val="28"/>
          <w:szCs w:val="28"/>
        </w:rPr>
        <w:t>参与人员授权等相关授权、报名联系人近半年医社保证明（需同一界面同时显示人员和公司名称）。</w:t>
      </w:r>
    </w:p>
    <w:p w14:paraId="5F28E6DC">
      <w:pPr>
        <w:numPr>
          <w:ilvl w:val="0"/>
          <w:numId w:val="2"/>
        </w:numPr>
        <w:spacing w:line="360" w:lineRule="auto"/>
        <w:rPr>
          <w:rFonts w:hint="eastAsia"/>
          <w:sz w:val="28"/>
          <w:szCs w:val="28"/>
        </w:rPr>
      </w:pPr>
      <w:r>
        <w:rPr>
          <w:rFonts w:hint="eastAsia"/>
          <w:sz w:val="28"/>
          <w:szCs w:val="28"/>
          <w:lang w:val="en-US" w:eastAsia="zh-CN"/>
        </w:rPr>
        <w:t>采购调研</w:t>
      </w:r>
      <w:r>
        <w:rPr>
          <w:rFonts w:hint="eastAsia"/>
          <w:sz w:val="28"/>
          <w:szCs w:val="28"/>
        </w:rPr>
        <w:t>会时提交相关材料纸质胶装1正</w:t>
      </w:r>
      <w:r>
        <w:rPr>
          <w:rFonts w:hint="eastAsia"/>
          <w:sz w:val="28"/>
          <w:szCs w:val="28"/>
          <w:lang w:val="en-US" w:eastAsia="zh-CN"/>
        </w:rPr>
        <w:t>3</w:t>
      </w:r>
      <w:r>
        <w:rPr>
          <w:rFonts w:hint="eastAsia"/>
          <w:sz w:val="28"/>
          <w:szCs w:val="28"/>
        </w:rPr>
        <w:t>副。内容包含但不限于：报名文件所含内容及以下所提及内容</w:t>
      </w:r>
      <w:r>
        <w:rPr>
          <w:rFonts w:hint="eastAsia"/>
          <w:sz w:val="28"/>
          <w:szCs w:val="28"/>
          <w:lang w:eastAsia="zh-CN"/>
        </w:rPr>
        <w:t>。</w:t>
      </w:r>
    </w:p>
    <w:p w14:paraId="44D0CCFA">
      <w:pPr>
        <w:spacing w:line="360" w:lineRule="auto"/>
        <w:ind w:firstLine="280" w:firstLineChars="100"/>
        <w:rPr>
          <w:rFonts w:hint="eastAsia"/>
          <w:sz w:val="28"/>
          <w:szCs w:val="28"/>
        </w:rPr>
      </w:pPr>
      <w:r>
        <w:rPr>
          <w:rFonts w:hint="eastAsia"/>
          <w:sz w:val="28"/>
          <w:szCs w:val="28"/>
          <w:lang w:val="en-US" w:eastAsia="zh-CN"/>
        </w:rPr>
        <w:t>2.1</w:t>
      </w:r>
      <w:r>
        <w:rPr>
          <w:rFonts w:hint="eastAsia"/>
          <w:sz w:val="28"/>
          <w:szCs w:val="28"/>
        </w:rPr>
        <w:t>、分别提供“信用中国”网站（www.creditchina.gov.cn）、“中国政府采购网”网站（http://www.ccgp.gov.cn/search/cr/）信用记录查询截图，无不良记录并加盖公章（截图查询日期必须在该公告日期内）。</w:t>
      </w:r>
    </w:p>
    <w:p w14:paraId="248F132B">
      <w:pPr>
        <w:spacing w:line="360" w:lineRule="auto"/>
        <w:ind w:firstLine="280" w:firstLineChars="100"/>
        <w:rPr>
          <w:sz w:val="28"/>
          <w:szCs w:val="28"/>
        </w:rPr>
      </w:pPr>
      <w:r>
        <w:rPr>
          <w:rFonts w:hint="eastAsia"/>
          <w:sz w:val="28"/>
          <w:szCs w:val="28"/>
          <w:lang w:val="en-US" w:eastAsia="zh-CN"/>
        </w:rPr>
        <w:t>2.2</w:t>
      </w:r>
      <w:r>
        <w:rPr>
          <w:rFonts w:hint="eastAsia"/>
          <w:sz w:val="28"/>
          <w:szCs w:val="28"/>
        </w:rPr>
        <w:t>、提供业绩清单及近3年省内同类项目中标案例；</w:t>
      </w:r>
    </w:p>
    <w:p w14:paraId="1FDF21FA">
      <w:pPr>
        <w:spacing w:line="360" w:lineRule="auto"/>
        <w:rPr>
          <w:sz w:val="28"/>
          <w:szCs w:val="28"/>
        </w:rPr>
      </w:pPr>
      <w:r>
        <w:rPr>
          <w:rFonts w:hint="eastAsia"/>
          <w:sz w:val="28"/>
          <w:szCs w:val="28"/>
          <w:lang w:val="en-US" w:eastAsia="zh-CN"/>
        </w:rPr>
        <w:t>3</w:t>
      </w:r>
      <w:r>
        <w:rPr>
          <w:rFonts w:hint="eastAsia"/>
          <w:sz w:val="28"/>
          <w:szCs w:val="28"/>
        </w:rPr>
        <w:t>、本调研会的报价仅做为本项目公开招标的预算限价；不做参与投标的限制条件；</w:t>
      </w:r>
    </w:p>
    <w:p w14:paraId="4E2746FD">
      <w:pPr>
        <w:spacing w:line="360" w:lineRule="auto"/>
        <w:rPr>
          <w:sz w:val="28"/>
          <w:szCs w:val="28"/>
        </w:rPr>
      </w:pPr>
      <w:r>
        <w:rPr>
          <w:rFonts w:hint="eastAsia"/>
          <w:sz w:val="28"/>
          <w:szCs w:val="28"/>
          <w:lang w:val="en-US" w:eastAsia="zh-CN"/>
        </w:rPr>
        <w:t>4</w:t>
      </w:r>
      <w:r>
        <w:rPr>
          <w:rFonts w:hint="eastAsia"/>
          <w:sz w:val="28"/>
          <w:szCs w:val="28"/>
        </w:rPr>
        <w:t>、上述各参数将做为本项目招标的主要参数，不代表本项目公开招标的最终参数；</w:t>
      </w:r>
    </w:p>
    <w:p w14:paraId="53DB4993">
      <w:pPr>
        <w:spacing w:line="360" w:lineRule="auto"/>
        <w:rPr>
          <w:rFonts w:hint="eastAsia"/>
          <w:sz w:val="28"/>
          <w:szCs w:val="28"/>
        </w:rPr>
        <w:sectPr>
          <w:pgSz w:w="11906" w:h="16838"/>
          <w:pgMar w:top="1440" w:right="1800" w:bottom="1440" w:left="1800" w:header="851" w:footer="992" w:gutter="0"/>
          <w:cols w:space="425" w:num="1"/>
          <w:docGrid w:type="lines" w:linePitch="312" w:charSpace="0"/>
        </w:sectPr>
      </w:pPr>
      <w:r>
        <w:rPr>
          <w:rFonts w:hint="eastAsia"/>
          <w:sz w:val="28"/>
          <w:szCs w:val="28"/>
          <w:lang w:val="en-US" w:eastAsia="zh-CN"/>
        </w:rPr>
        <w:t>5</w:t>
      </w:r>
      <w:r>
        <w:rPr>
          <w:rFonts w:hint="eastAsia"/>
          <w:sz w:val="28"/>
          <w:szCs w:val="28"/>
        </w:rPr>
        <w:t>、参加调研会的公司应准备PPT材料（含方案介绍、服务及集成能力、应用案例、报价等）、技术参数等材料，每公司讲解时间30分钟内（含答疑10分钟）；同时上述材料须交予院方留档（发送邮件到wlb@fjzlhospital.com，并提供U盘留档）。</w:t>
      </w:r>
    </w:p>
    <w:p w14:paraId="6C49C88A">
      <w:pPr>
        <w:widowControl w:val="0"/>
        <w:shd w:val="solid" w:color="FFFFFF" w:fill="auto"/>
        <w:autoSpaceDN w:val="0"/>
        <w:spacing w:after="0" w:line="360" w:lineRule="auto"/>
        <w:jc w:val="center"/>
        <w:rPr>
          <w:rFonts w:hint="eastAsia" w:ascii="仿宋_GB2312" w:hAnsi="仿宋_GB2312" w:eastAsia="仿宋_GB2312" w:cs="仿宋_GB2312"/>
          <w:b/>
          <w:kern w:val="2"/>
          <w:sz w:val="32"/>
          <w:szCs w:val="32"/>
          <w:shd w:val="clear" w:color="auto" w:fill="FFFFFF"/>
        </w:rPr>
      </w:pPr>
      <w:r>
        <w:rPr>
          <w:rFonts w:hint="eastAsia" w:ascii="仿宋_GB2312" w:hAnsi="仿宋_GB2312" w:eastAsia="仿宋_GB2312" w:cs="仿宋_GB2312"/>
          <w:b/>
          <w:color w:val="000000"/>
          <w:kern w:val="2"/>
          <w:sz w:val="32"/>
          <w:szCs w:val="32"/>
          <w:shd w:val="clear" w:color="auto" w:fill="FFFFFF"/>
        </w:rPr>
        <w:t>项目文件回执单</w:t>
      </w:r>
    </w:p>
    <w:p w14:paraId="659F567C">
      <w:pPr>
        <w:widowControl w:val="0"/>
        <w:shd w:val="solid" w:color="FFFFFF" w:fill="auto"/>
        <w:autoSpaceDN w:val="0"/>
        <w:spacing w:after="0" w:line="360" w:lineRule="auto"/>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shd w:val="clear" w:color="auto" w:fill="FFFFFF"/>
        </w:rPr>
        <w:t>请有意向参与的公司在项目公示期内携带回执单至福建省肿瘤医院网络技术中心报名。</w:t>
      </w:r>
    </w:p>
    <w:tbl>
      <w:tblPr>
        <w:tblStyle w:val="16"/>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112767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CC5B2BB">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766880D">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37E2593">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97463D9">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品牌及型号</w:t>
            </w:r>
          </w:p>
        </w:tc>
      </w:tr>
      <w:tr w14:paraId="0A105A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FCBD99A">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A67BA3E">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860B96F">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1B6BA27">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p>
        </w:tc>
      </w:tr>
      <w:tr w14:paraId="786A36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30694BE2">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290D97E">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9F4A00D">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8ACCE11">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p>
        </w:tc>
      </w:tr>
    </w:tbl>
    <w:p w14:paraId="1DBE4070">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26BAD80A">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68FEB8D1">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公司名称：</w:t>
      </w:r>
    </w:p>
    <w:p w14:paraId="0F052B2E">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 xml:space="preserve">联系人：　 </w:t>
      </w:r>
    </w:p>
    <w:p w14:paraId="545643D9">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联系电话：</w:t>
      </w:r>
    </w:p>
    <w:p w14:paraId="0C75C842">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公司盖章：</w:t>
      </w:r>
    </w:p>
    <w:p w14:paraId="1D903916">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40EAC1CE">
      <w:pPr>
        <w:widowControl w:val="0"/>
        <w:overflowPunct w:val="0"/>
        <w:autoSpaceDE w:val="0"/>
        <w:autoSpaceDN w:val="0"/>
        <w:adjustRightInd w:val="0"/>
        <w:spacing w:after="0" w:line="360" w:lineRule="auto"/>
        <w:jc w:val="both"/>
        <w:textAlignment w:val="baseline"/>
        <w:rPr>
          <w:rFonts w:hint="eastAsia" w:ascii="仿宋_GB2312" w:hAnsi="仿宋_GB2312" w:eastAsia="仿宋_GB2312" w:cs="仿宋_GB2312"/>
          <w:bCs/>
          <w:kern w:val="28"/>
          <w:sz w:val="32"/>
          <w:szCs w:val="32"/>
          <w:shd w:val="clear" w:color="auto" w:fill="FFFFFF"/>
          <w:lang w:val="en-US" w:eastAsia="zh-CN" w:bidi="ar-SA"/>
        </w:rPr>
      </w:pPr>
    </w:p>
    <w:p w14:paraId="0919DA40">
      <w:pPr>
        <w:widowControl w:val="0"/>
        <w:overflowPunct w:val="0"/>
        <w:autoSpaceDE w:val="0"/>
        <w:autoSpaceDN w:val="0"/>
        <w:adjustRightInd w:val="0"/>
        <w:spacing w:after="0" w:line="360" w:lineRule="auto"/>
        <w:jc w:val="both"/>
        <w:textAlignment w:val="baseline"/>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福建省肿瘤医院</w:t>
      </w:r>
    </w:p>
    <w:p w14:paraId="529A0EE8">
      <w:pPr>
        <w:widowControl w:val="0"/>
        <w:overflowPunct w:val="0"/>
        <w:autoSpaceDE w:val="0"/>
        <w:autoSpaceDN w:val="0"/>
        <w:adjustRightInd w:val="0"/>
        <w:spacing w:after="0" w:line="360" w:lineRule="auto"/>
        <w:jc w:val="both"/>
        <w:textAlignment w:val="baseline"/>
        <w:rPr>
          <w:rFonts w:hint="eastAsia"/>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8"/>
          <w:sz w:val="32"/>
          <w:szCs w:val="32"/>
          <w:lang w:val="en-US" w:eastAsia="zh-CN" w:bidi="ar-SA"/>
        </w:rPr>
        <w:t xml:space="preserve">                                        年  月  日</w:t>
      </w:r>
    </w:p>
    <w:p w14:paraId="276A26FE">
      <w:pPr>
        <w:spacing w:line="360" w:lineRule="auto"/>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C5634"/>
    <w:multiLevelType w:val="singleLevel"/>
    <w:tmpl w:val="C98C5634"/>
    <w:lvl w:ilvl="0" w:tentative="0">
      <w:start w:val="1"/>
      <w:numFmt w:val="decimal"/>
      <w:suff w:val="nothing"/>
      <w:lvlText w:val="%1、"/>
      <w:lvlJc w:val="left"/>
    </w:lvl>
  </w:abstractNum>
  <w:abstractNum w:abstractNumId="1">
    <w:nsid w:val="D1DB28E3"/>
    <w:multiLevelType w:val="singleLevel"/>
    <w:tmpl w:val="D1DB28E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8F"/>
    <w:rsid w:val="0001520C"/>
    <w:rsid w:val="000261DE"/>
    <w:rsid w:val="00083860"/>
    <w:rsid w:val="000938D8"/>
    <w:rsid w:val="0015036D"/>
    <w:rsid w:val="00197F32"/>
    <w:rsid w:val="001C688B"/>
    <w:rsid w:val="001D739B"/>
    <w:rsid w:val="002C6790"/>
    <w:rsid w:val="0033197C"/>
    <w:rsid w:val="00336716"/>
    <w:rsid w:val="003845EC"/>
    <w:rsid w:val="003A4CFC"/>
    <w:rsid w:val="003D42F8"/>
    <w:rsid w:val="004D4B50"/>
    <w:rsid w:val="005024FF"/>
    <w:rsid w:val="00573C32"/>
    <w:rsid w:val="005836B0"/>
    <w:rsid w:val="005A4BFE"/>
    <w:rsid w:val="005D2A90"/>
    <w:rsid w:val="00626290"/>
    <w:rsid w:val="00661FB1"/>
    <w:rsid w:val="0066308F"/>
    <w:rsid w:val="006F0715"/>
    <w:rsid w:val="007113EF"/>
    <w:rsid w:val="007848DA"/>
    <w:rsid w:val="007E3FB5"/>
    <w:rsid w:val="008925E5"/>
    <w:rsid w:val="00937657"/>
    <w:rsid w:val="009C1A48"/>
    <w:rsid w:val="00A218D9"/>
    <w:rsid w:val="00A650EC"/>
    <w:rsid w:val="00A658C4"/>
    <w:rsid w:val="00A86432"/>
    <w:rsid w:val="00B30434"/>
    <w:rsid w:val="00B47D35"/>
    <w:rsid w:val="00BF2BBB"/>
    <w:rsid w:val="00CA2C49"/>
    <w:rsid w:val="00CB3C03"/>
    <w:rsid w:val="00CE5BD1"/>
    <w:rsid w:val="00CE63F2"/>
    <w:rsid w:val="00D97C84"/>
    <w:rsid w:val="00DB3297"/>
    <w:rsid w:val="00DC7002"/>
    <w:rsid w:val="00DE1F02"/>
    <w:rsid w:val="00F527F1"/>
    <w:rsid w:val="00F60AB8"/>
    <w:rsid w:val="00FF1EB3"/>
    <w:rsid w:val="00FF7615"/>
    <w:rsid w:val="01525F9E"/>
    <w:rsid w:val="02E46EDB"/>
    <w:rsid w:val="048D195A"/>
    <w:rsid w:val="067F1777"/>
    <w:rsid w:val="08346719"/>
    <w:rsid w:val="085D3F36"/>
    <w:rsid w:val="0B112BB9"/>
    <w:rsid w:val="0C5C337B"/>
    <w:rsid w:val="11513D10"/>
    <w:rsid w:val="146A52E1"/>
    <w:rsid w:val="15CE31CD"/>
    <w:rsid w:val="1E112B5D"/>
    <w:rsid w:val="1F04572B"/>
    <w:rsid w:val="1F776993"/>
    <w:rsid w:val="20AD0837"/>
    <w:rsid w:val="217C0935"/>
    <w:rsid w:val="24E14A0E"/>
    <w:rsid w:val="29A7676B"/>
    <w:rsid w:val="29C16695"/>
    <w:rsid w:val="2A9A62D0"/>
    <w:rsid w:val="2CA214A8"/>
    <w:rsid w:val="30061211"/>
    <w:rsid w:val="35542AA5"/>
    <w:rsid w:val="36A75FFC"/>
    <w:rsid w:val="47900C91"/>
    <w:rsid w:val="483343F3"/>
    <w:rsid w:val="49791BAF"/>
    <w:rsid w:val="4B271062"/>
    <w:rsid w:val="514151E5"/>
    <w:rsid w:val="51FC6DA4"/>
    <w:rsid w:val="523560D6"/>
    <w:rsid w:val="5560352D"/>
    <w:rsid w:val="55AA4D69"/>
    <w:rsid w:val="55F21D17"/>
    <w:rsid w:val="57B114D5"/>
    <w:rsid w:val="5BEF0C8B"/>
    <w:rsid w:val="5E842372"/>
    <w:rsid w:val="609A4358"/>
    <w:rsid w:val="667B53E5"/>
    <w:rsid w:val="6E6E29DA"/>
    <w:rsid w:val="70290C0C"/>
    <w:rsid w:val="7557320A"/>
    <w:rsid w:val="780C1937"/>
    <w:rsid w:val="7855070D"/>
    <w:rsid w:val="78F11383"/>
    <w:rsid w:val="7E825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8"/>
    <w:qFormat/>
    <w:uiPriority w:val="9"/>
    <w:pPr>
      <w:keepNext/>
      <w:keepLines/>
      <w:widowControl w:val="0"/>
      <w:spacing w:before="480" w:after="80"/>
      <w:jc w:val="both"/>
      <w:outlineLvl w:val="0"/>
    </w:pPr>
    <w:rPr>
      <w:rFonts w:asciiTheme="majorHAnsi" w:hAnsiTheme="majorHAnsi" w:eastAsiaTheme="majorEastAsia" w:cstheme="majorBidi"/>
      <w:color w:val="2F5597" w:themeColor="accent1" w:themeShade="BF"/>
      <w:kern w:val="2"/>
      <w:sz w:val="48"/>
      <w:szCs w:val="48"/>
    </w:rPr>
  </w:style>
  <w:style w:type="paragraph" w:styleId="3">
    <w:name w:val="heading 2"/>
    <w:basedOn w:val="1"/>
    <w:next w:val="1"/>
    <w:link w:val="19"/>
    <w:semiHidden/>
    <w:unhideWhenUsed/>
    <w:qFormat/>
    <w:uiPriority w:val="9"/>
    <w:pPr>
      <w:keepNext/>
      <w:keepLines/>
      <w:widowControl w:val="0"/>
      <w:spacing w:before="160" w:after="80"/>
      <w:jc w:val="both"/>
      <w:outlineLvl w:val="1"/>
    </w:pPr>
    <w:rPr>
      <w:rFonts w:asciiTheme="majorHAnsi" w:hAnsiTheme="majorHAnsi" w:eastAsiaTheme="majorEastAsia" w:cstheme="majorBidi"/>
      <w:color w:val="2F5597" w:themeColor="accent1" w:themeShade="BF"/>
      <w:kern w:val="2"/>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12">
    <w:name w:val="header"/>
    <w:basedOn w:val="1"/>
    <w:link w:val="36"/>
    <w:unhideWhenUsed/>
    <w:qFormat/>
    <w:uiPriority w:val="99"/>
    <w:pPr>
      <w:widowControl w:val="0"/>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3">
    <w:name w:val="Subtitle"/>
    <w:basedOn w:val="1"/>
    <w:next w:val="1"/>
    <w:link w:val="28"/>
    <w:qFormat/>
    <w:uiPriority w:val="11"/>
    <w:pPr>
      <w:widowControl w:val="0"/>
      <w:spacing w:after="16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14">
    <w:name w:val="Normal (Web)"/>
    <w:basedOn w:val="1"/>
    <w:qFormat/>
    <w:uiPriority w:val="0"/>
    <w:pPr>
      <w:widowControl w:val="0"/>
      <w:spacing w:after="160" w:line="336" w:lineRule="auto"/>
    </w:pPr>
    <w:rPr>
      <w:rFonts w:cs="黑体"/>
    </w:rPr>
  </w:style>
  <w:style w:type="paragraph" w:styleId="15">
    <w:name w:val="Title"/>
    <w:basedOn w:val="1"/>
    <w:next w:val="1"/>
    <w:link w:val="27"/>
    <w:qFormat/>
    <w:uiPriority w:val="10"/>
    <w:pPr>
      <w:widowControl w:val="0"/>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widowControl w:val="0"/>
      <w:spacing w:before="160" w:after="160"/>
      <w:jc w:val="center"/>
    </w:pPr>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widowControl w:val="0"/>
      <w:ind w:left="720"/>
      <w:contextualSpacing/>
      <w:jc w:val="both"/>
    </w:pPr>
    <w:rPr>
      <w:rFonts w:asciiTheme="minorHAnsi" w:hAnsiTheme="minorHAnsi" w:eastAsiaTheme="minorEastAsia" w:cstheme="minorBidi"/>
      <w:kern w:val="2"/>
      <w:sz w:val="21"/>
      <w:szCs w:val="22"/>
    </w:r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widowControl w:val="0"/>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kern w:val="2"/>
      <w:sz w:val="21"/>
      <w:szCs w:val="22"/>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632</Words>
  <Characters>811</Characters>
  <Lines>12</Lines>
  <Paragraphs>3</Paragraphs>
  <TotalTime>2</TotalTime>
  <ScaleCrop>false</ScaleCrop>
  <LinksUpToDate>false</LinksUpToDate>
  <CharactersWithSpaces>847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2026-05-22T07:04:00Z</dcterms:created>
  <dc:creator>晨 江</dc:creator>
  <cp:lastModifiedBy>郑薇</cp:lastModifiedBy>
  <dcterms:modified xsi:type="dcterms:W3CDTF">2026-07-14T08:18:32Z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eyJoZGlkIjoiNzRlNzZiNjE1N2NiNDY1MjdjNTllOWUxMWU4Y2ZiZGQiLCJ1c2VySWQiOiIxNzAyMzQ4MDU4In0=</vt:lpwstr>
  </property>
  <property fmtid="{D5CDD505-2E9C-101B-9397-08002B2CF9AE}" pid="3" name="KSOProductBuildVer">
    <vt:lpwstr>2052-12.1.0.24031</vt:lpwstr>
  </property>
  <property fmtid="{D5CDD505-2E9C-101B-9397-08002B2CF9AE}" pid="4" name="ICV">
    <vt:lpwstr>D2CDF39AEDE94CE683AA193E73E0F2DE_13</vt:lpwstr>
  </property>
</Properties>
</file>